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</w:r>
    </w:p>
    <w:p>
      <w:pPr>
        <w:pStyle w:val="NormalWeb"/>
        <w:spacing w:before="0" w:after="0"/>
        <w:ind w:left="720" w:hanging="0"/>
        <w:jc w:val="center"/>
        <w:rPr>
          <w:sz w:val="52"/>
          <w:szCs w:val="72"/>
          <w:lang w:eastAsia="pl-PL"/>
        </w:rPr>
      </w:pPr>
      <w:r>
        <w:rPr>
          <w:sz w:val="52"/>
          <w:szCs w:val="72"/>
          <w:lang w:eastAsia="pl-PL"/>
        </w:rPr>
      </w:r>
    </w:p>
    <w:p>
      <w:pPr>
        <w:pStyle w:val="NormalWeb"/>
        <w:spacing w:before="0" w:after="0"/>
        <w:ind w:left="720" w:hanging="0"/>
        <w:jc w:val="center"/>
        <w:rPr>
          <w:sz w:val="52"/>
          <w:szCs w:val="72"/>
          <w:lang w:eastAsia="pl-PL"/>
        </w:rPr>
      </w:pPr>
      <w:r>
        <w:rPr>
          <w:sz w:val="52"/>
          <w:szCs w:val="72"/>
          <w:lang w:eastAsia="pl-PL"/>
        </w:rPr>
      </w:r>
    </w:p>
    <w:p>
      <w:pPr>
        <w:pStyle w:val="NormalWeb"/>
        <w:spacing w:before="0" w:after="0"/>
        <w:ind w:left="720" w:hanging="0"/>
        <w:jc w:val="center"/>
        <w:rPr>
          <w:sz w:val="52"/>
          <w:szCs w:val="72"/>
          <w:lang w:eastAsia="pl-PL"/>
        </w:rPr>
      </w:pPr>
      <w:r>
        <w:rPr>
          <w:sz w:val="52"/>
          <w:szCs w:val="72"/>
          <w:lang w:eastAsia="pl-PL"/>
        </w:rPr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sz w:val="52"/>
          <w:szCs w:val="72"/>
        </w:rPr>
        <w:t>Opis aglomeracji</w:t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b/>
          <w:sz w:val="56"/>
          <w:szCs w:val="44"/>
        </w:rPr>
        <w:t>Mrocza</w:t>
      </w:r>
    </w:p>
    <w:p>
      <w:pPr>
        <w:pStyle w:val="NormalWeb"/>
        <w:spacing w:before="0" w:after="0"/>
        <w:ind w:left="720" w:hanging="0"/>
        <w:jc w:val="center"/>
        <w:rPr>
          <w:b/>
          <w:b/>
          <w:sz w:val="44"/>
          <w:szCs w:val="44"/>
        </w:rPr>
      </w:pPr>
      <w:r>
        <w:rPr>
          <w:b/>
          <w:sz w:val="44"/>
          <w:szCs w:val="44"/>
        </w:rPr>
      </w:r>
    </w:p>
    <w:p>
      <w:pPr>
        <w:pStyle w:val="NormalWeb"/>
        <w:spacing w:before="0" w:after="0"/>
        <w:ind w:left="720" w:hanging="0"/>
        <w:jc w:val="center"/>
        <w:rPr>
          <w:b/>
          <w:b/>
          <w:sz w:val="44"/>
          <w:szCs w:val="44"/>
        </w:rPr>
      </w:pPr>
      <w:r>
        <w:rPr>
          <w:b/>
          <w:sz w:val="44"/>
          <w:szCs w:val="44"/>
        </w:rPr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sz w:val="44"/>
          <w:szCs w:val="44"/>
        </w:rPr>
        <w:t xml:space="preserve">Powiat </w:t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b/>
          <w:sz w:val="44"/>
          <w:szCs w:val="44"/>
        </w:rPr>
        <w:t>nakielski</w:t>
      </w:r>
    </w:p>
    <w:p>
      <w:pPr>
        <w:pStyle w:val="NormalWeb"/>
        <w:spacing w:before="0" w:after="0"/>
        <w:ind w:left="720" w:hanging="0"/>
        <w:jc w:val="center"/>
        <w:rPr>
          <w:b/>
          <w:b/>
          <w:sz w:val="44"/>
          <w:szCs w:val="44"/>
        </w:rPr>
      </w:pPr>
      <w:r>
        <w:rPr>
          <w:b/>
          <w:sz w:val="44"/>
          <w:szCs w:val="44"/>
        </w:rPr>
      </w:r>
    </w:p>
    <w:p>
      <w:pPr>
        <w:pStyle w:val="NormalWeb"/>
        <w:spacing w:before="0" w:after="0"/>
        <w:ind w:left="720" w:hanging="0"/>
        <w:jc w:val="center"/>
        <w:rPr>
          <w:b/>
          <w:b/>
          <w:sz w:val="44"/>
          <w:szCs w:val="44"/>
        </w:rPr>
      </w:pPr>
      <w:r>
        <w:rPr>
          <w:b/>
          <w:sz w:val="44"/>
          <w:szCs w:val="44"/>
        </w:rPr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sz w:val="52"/>
          <w:szCs w:val="52"/>
        </w:rPr>
        <w:t xml:space="preserve">Województwo </w:t>
      </w:r>
    </w:p>
    <w:p>
      <w:pPr>
        <w:pStyle w:val="NormalWeb"/>
        <w:spacing w:before="0" w:after="0"/>
        <w:ind w:left="720" w:hanging="0"/>
        <w:jc w:val="center"/>
        <w:rPr/>
      </w:pPr>
      <w:r>
        <w:rPr>
          <w:b/>
          <w:sz w:val="52"/>
          <w:szCs w:val="52"/>
        </w:rPr>
        <w:t>Kujawsko pomorskie</w:t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/>
      </w:r>
    </w:p>
    <w:p>
      <w:pPr>
        <w:pStyle w:val="NormalWeb"/>
        <w:spacing w:before="0" w:after="0"/>
        <w:ind w:left="720" w:hanging="0"/>
        <w:jc w:val="center"/>
        <w:rPr/>
      </w:pPr>
      <w:r>
        <w:rPr/>
        <w:t>październik, 2020</w:t>
      </w:r>
    </w:p>
    <w:p>
      <w:pPr>
        <w:pStyle w:val="NormalWeb"/>
        <w:spacing w:before="0" w:after="0"/>
        <w:ind w:left="720" w:hanging="0"/>
        <w:jc w:val="center"/>
        <w:rPr/>
      </w:pPr>
      <w:r>
        <w:rPr/>
      </w:r>
    </w:p>
    <w:p>
      <w:pPr>
        <w:pStyle w:val="NormalWeb"/>
        <w:spacing w:before="0" w:after="0"/>
        <w:ind w:left="720" w:hanging="0"/>
        <w:rPr/>
      </w:pPr>
      <w:r>
        <w:rPr>
          <w:b/>
        </w:rPr>
        <w:t>Część opisowa</w:t>
      </w:r>
    </w:p>
    <w:p>
      <w:pPr>
        <w:pStyle w:val="Normal"/>
        <w:spacing w:before="0" w:after="0"/>
        <w:rPr>
          <w:b/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2"/>
        </w:numPr>
        <w:spacing w:before="0" w:after="0"/>
        <w:contextualSpacing/>
        <w:rPr/>
      </w:pPr>
      <w:r>
        <w:rPr>
          <w:rStyle w:val="Wyrnienie"/>
          <w:sz w:val="24"/>
          <w:szCs w:val="24"/>
        </w:rPr>
        <w:t>Podstawowe informacje na temat aglomeracji</w:t>
      </w:r>
    </w:p>
    <w:p>
      <w:pPr>
        <w:pStyle w:val="ListParagraph"/>
        <w:spacing w:before="0" w:after="0"/>
        <w:ind w:left="0" w:hanging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06" w:type="dxa"/>
        <w:jc w:val="left"/>
        <w:tblInd w:w="-142" w:type="dxa"/>
        <w:tblBorders>
          <w:top w:val="single" w:sz="4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44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506"/>
      </w:tblGrid>
      <w:tr>
        <w:trPr>
          <w:trHeight w:val="863" w:hRule="atLeast"/>
        </w:trPr>
        <w:tc>
          <w:tcPr>
            <w:tcW w:w="9506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 xml:space="preserve">Nazwa aglomeracji: </w:t>
            </w:r>
            <w:r>
              <w:rPr>
                <w:b/>
                <w:sz w:val="24"/>
                <w:szCs w:val="24"/>
              </w:rPr>
              <w:t>Mrocza</w:t>
            </w:r>
          </w:p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>Wielkość RLM aglomeracji zgodnie z obowiązującym rozporządzeniem / uchwałą: 9198 zgodnie z uchwałą nr IX/158/15 Sejmiku Województwa Kujawsko-Pomorskiego z dnia 22.06.2015 r. w sprawie wyznaczenia aglomeracji Mrocza</w:t>
            </w:r>
          </w:p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 xml:space="preserve">Wielkość RLM aglomeracji planowanej do wyznaczenia: </w:t>
            </w:r>
            <w:r>
              <w:rPr>
                <w:b/>
                <w:bCs/>
                <w:sz w:val="24"/>
                <w:szCs w:val="24"/>
              </w:rPr>
              <w:t>8811</w:t>
            </w:r>
          </w:p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 xml:space="preserve">Gmina wiodąca w aglomeracji: </w:t>
            </w:r>
            <w:r>
              <w:rPr>
                <w:b/>
                <w:sz w:val="24"/>
                <w:szCs w:val="24"/>
              </w:rPr>
              <w:t>Mrocza</w:t>
            </w:r>
          </w:p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 xml:space="preserve">Gminy w aglomeracji: </w:t>
            </w:r>
            <w:r>
              <w:rPr>
                <w:b/>
                <w:sz w:val="24"/>
                <w:szCs w:val="24"/>
              </w:rPr>
              <w:t>Mrocza</w:t>
            </w:r>
          </w:p>
          <w:p>
            <w:pPr>
              <w:pStyle w:val="Normal"/>
              <w:numPr>
                <w:ilvl w:val="0"/>
                <w:numId w:val="7"/>
              </w:numPr>
              <w:rPr/>
            </w:pPr>
            <w:r>
              <w:rPr>
                <w:sz w:val="24"/>
                <w:szCs w:val="24"/>
              </w:rPr>
              <w:t xml:space="preserve">Wykaz nazw miast i/lub miejscowości w aglomeracji, zgodnie z dołączonym do wniosku załącznikiem graficznym: </w:t>
            </w:r>
            <w:r>
              <w:rPr>
                <w:b/>
                <w:sz w:val="24"/>
                <w:szCs w:val="24"/>
              </w:rPr>
              <w:t>Białowieża, Jadwigowo, Orlinek, Drążno, Drążonek, Dzewianowo, Izabela, Jeziorki Zabartowskie, Rajgród, Kosowo, Kozia Góra Krajeńska, Modrakowo, Krukówko, Ostrowo, Chwałka, Słupówko, Rościmin, Wiele, Konstantowo, Witosław, Orle, Mrocza</w:t>
            </w:r>
          </w:p>
          <w:p>
            <w:pPr>
              <w:pStyle w:val="Normal"/>
              <w:numPr>
                <w:ilvl w:val="0"/>
                <w:numId w:val="7"/>
              </w:numPr>
              <w:spacing w:before="0" w:after="200"/>
              <w:rPr/>
            </w:pPr>
            <w:r>
              <w:rPr>
                <w:sz w:val="24"/>
                <w:szCs w:val="24"/>
              </w:rPr>
              <w:t xml:space="preserve">Nazwa miejscowości, w której zlokalizowana jest oczyszczalnia ścieków: </w:t>
            </w:r>
            <w:r>
              <w:rPr>
                <w:b/>
                <w:sz w:val="24"/>
                <w:szCs w:val="24"/>
              </w:rPr>
              <w:t>Mrocza</w:t>
            </w:r>
          </w:p>
        </w:tc>
      </w:tr>
    </w:tbl>
    <w:p>
      <w:pPr>
        <w:pStyle w:val="Normal"/>
        <w:ind w:left="360" w:hanging="0"/>
        <w:rPr/>
      </w:pPr>
      <w:r>
        <w:rPr/>
      </w:r>
    </w:p>
    <w:p>
      <w:pPr>
        <w:pStyle w:val="Normal"/>
        <w:numPr>
          <w:ilvl w:val="0"/>
          <w:numId w:val="2"/>
        </w:numPr>
        <w:rPr/>
      </w:pPr>
      <w:r>
        <w:rPr>
          <w:sz w:val="24"/>
          <w:szCs w:val="24"/>
        </w:rPr>
        <w:t>Adres wnioskodawcy (gminy, gminy wiodącej w aglomeracji)</w:t>
      </w:r>
    </w:p>
    <w:tbl>
      <w:tblPr>
        <w:tblW w:w="8952" w:type="dxa"/>
        <w:jc w:val="left"/>
        <w:tblInd w:w="-50" w:type="dxa"/>
        <w:tblBorders>
          <w:top w:val="single" w:sz="4" w:space="0" w:color="000001"/>
          <w:left w:val="single" w:sz="4" w:space="0" w:color="000001"/>
        </w:tblBorders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4785"/>
        <w:gridCol w:w="4166"/>
      </w:tblGrid>
      <w:tr>
        <w:trPr>
          <w:trHeight w:val="836" w:hRule="exact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Miejscowość: Mrocza</w:t>
            </w:r>
          </w:p>
        </w:tc>
        <w:tc>
          <w:tcPr>
            <w:tcW w:w="416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Ulica, nr: Pl. 1 Maja 20, 89-115 Mrocza</w:t>
            </w:r>
          </w:p>
        </w:tc>
      </w:tr>
      <w:tr>
        <w:trPr>
          <w:trHeight w:val="418" w:hRule="exact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Gmina: Mrocza</w:t>
            </w:r>
          </w:p>
        </w:tc>
        <w:tc>
          <w:tcPr>
            <w:tcW w:w="416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Powiat: nakielski</w:t>
            </w:r>
          </w:p>
        </w:tc>
      </w:tr>
      <w:tr>
        <w:trPr>
          <w:trHeight w:val="408" w:hRule="exact"/>
        </w:trPr>
        <w:tc>
          <w:tcPr>
            <w:tcW w:w="8951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Województwo: kujawsko pomorskie</w:t>
            </w:r>
          </w:p>
        </w:tc>
      </w:tr>
      <w:tr>
        <w:trPr>
          <w:trHeight w:val="418" w:hRule="exact"/>
        </w:trPr>
        <w:tc>
          <w:tcPr>
            <w:tcW w:w="4785" w:type="dxa"/>
            <w:tcBorders>
              <w:top w:val="single" w:sz="4" w:space="0" w:color="000001"/>
              <w:left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Telefon: (52) 3867410</w:t>
            </w:r>
          </w:p>
        </w:tc>
        <w:tc>
          <w:tcPr>
            <w:tcW w:w="416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Fax: (52) 3856241</w:t>
            </w:r>
          </w:p>
        </w:tc>
      </w:tr>
      <w:tr>
        <w:trPr>
          <w:trHeight w:val="413" w:hRule="exact"/>
        </w:trPr>
        <w:tc>
          <w:tcPr>
            <w:tcW w:w="89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e-mail do kontaktu bieżącego: urzad@mrocza.pl</w:t>
            </w:r>
          </w:p>
        </w:tc>
      </w:tr>
    </w:tbl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Dane rejestrowe</w:t>
      </w:r>
    </w:p>
    <w:tbl>
      <w:tblPr>
        <w:tblW w:w="6417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70"/>
        <w:gridCol w:w="1968"/>
        <w:gridCol w:w="1243"/>
        <w:gridCol w:w="2235"/>
      </w:tblGrid>
      <w:tr>
        <w:trPr>
          <w:trHeight w:val="533" w:hRule="exact"/>
        </w:trPr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NIP</w:t>
            </w:r>
          </w:p>
        </w:tc>
        <w:tc>
          <w:tcPr>
            <w:tcW w:w="19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558-176-68-63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REGON</w:t>
            </w:r>
          </w:p>
        </w:tc>
        <w:tc>
          <w:tcPr>
            <w:tcW w:w="2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092350889</w:t>
            </w:r>
          </w:p>
        </w:tc>
      </w:tr>
    </w:tbl>
    <w:p>
      <w:pPr>
        <w:pStyle w:val="Normal"/>
        <w:widowControl w:val="false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2"/>
        </w:numPr>
        <w:spacing w:before="0" w:after="0"/>
        <w:rPr/>
      </w:pPr>
      <w:r>
        <w:rPr>
          <w:rStyle w:val="Wyrnienie"/>
          <w:sz w:val="24"/>
          <w:szCs w:val="24"/>
        </w:rPr>
        <w:t>Dane kontaktowe osoby wskazanej do kontaktowania się w sprawach złożonego wniosku</w:t>
      </w:r>
    </w:p>
    <w:p>
      <w:pPr>
        <w:pStyle w:val="Normal"/>
        <w:spacing w:before="0" w:after="0"/>
        <w:ind w:left="360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34" w:type="dxa"/>
        <w:jc w:val="left"/>
        <w:tblInd w:w="-7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44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434"/>
      </w:tblGrid>
      <w:tr>
        <w:trPr>
          <w:trHeight w:val="562" w:hRule="atLeast"/>
        </w:trPr>
        <w:tc>
          <w:tcPr>
            <w:tcW w:w="94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auto" w:val="clear"/>
          </w:tcPr>
          <w:p>
            <w:pPr>
              <w:pStyle w:val="Normal"/>
              <w:numPr>
                <w:ilvl w:val="0"/>
                <w:numId w:val="15"/>
              </w:numPr>
              <w:spacing w:before="0" w:after="0"/>
              <w:rPr/>
            </w:pPr>
            <w:r>
              <w:rPr>
                <w:sz w:val="24"/>
                <w:szCs w:val="24"/>
              </w:rPr>
              <w:t>Imię i nazwisko: Magdalena Kobylarz</w:t>
            </w:r>
          </w:p>
          <w:p>
            <w:pPr>
              <w:pStyle w:val="Normal"/>
              <w:numPr>
                <w:ilvl w:val="0"/>
                <w:numId w:val="15"/>
              </w:numPr>
              <w:spacing w:before="0" w:after="0"/>
              <w:rPr/>
            </w:pPr>
            <w:r>
              <w:rPr>
                <w:sz w:val="24"/>
                <w:szCs w:val="24"/>
                <w:lang w:val="de-DE"/>
              </w:rPr>
              <w:t>Telefon: 531560128</w:t>
            </w:r>
          </w:p>
          <w:p>
            <w:pPr>
              <w:pStyle w:val="Normal"/>
              <w:numPr>
                <w:ilvl w:val="0"/>
                <w:numId w:val="15"/>
              </w:numPr>
              <w:spacing w:before="0" w:after="0"/>
              <w:rPr/>
            </w:pPr>
            <w:r>
              <w:rPr>
                <w:sz w:val="24"/>
                <w:szCs w:val="24"/>
                <w:lang w:val="de-DE"/>
              </w:rPr>
              <w:t>E-mail: magdalenakobylarz@umig.mrocza.pl</w:t>
            </w:r>
          </w:p>
        </w:tc>
      </w:tr>
    </w:tbl>
    <w:p>
      <w:pPr>
        <w:pStyle w:val="Normal"/>
        <w:spacing w:before="0" w:after="0"/>
        <w:ind w:left="360" w:hanging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numPr>
          <w:ilvl w:val="0"/>
          <w:numId w:val="9"/>
        </w:numPr>
        <w:spacing w:before="0" w:after="0"/>
        <w:rPr/>
      </w:pPr>
      <w:r>
        <w:rPr>
          <w:rStyle w:val="Wyrnienie"/>
          <w:sz w:val="24"/>
          <w:szCs w:val="24"/>
        </w:rPr>
        <w:t>Dokumenty stanowiące podstawę do wyznaczenia aglomeracji</w:t>
      </w:r>
    </w:p>
    <w:p>
      <w:pPr>
        <w:pStyle w:val="NormalWeb"/>
        <w:spacing w:before="0" w:after="0"/>
        <w:rPr/>
      </w:pPr>
      <w:r>
        <w:rPr/>
      </w:r>
    </w:p>
    <w:tbl>
      <w:tblPr>
        <w:tblW w:w="9314" w:type="dxa"/>
        <w:jc w:val="left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93"/>
        <w:gridCol w:w="7189"/>
        <w:gridCol w:w="717"/>
        <w:gridCol w:w="814"/>
      </w:tblGrid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>
                <w:b/>
              </w:rPr>
              <w:t>Wyszczególnienie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b/>
                <w:b/>
              </w:rPr>
            </w:pPr>
            <w:r>
              <w:rPr>
                <w:b/>
              </w:rPr>
              <w:t>Nie</w:t>
            </w:r>
            <w:r>
              <w:rPr>
                <w:rStyle w:val="Zakotwiczenieprzypisudolnego"/>
                <w:rStyle w:val="Zakotwiczenieprzypisudolnego"/>
                <w:b/>
              </w:rPr>
              <w:footnoteReference w:id="2"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>
                <w:b/>
              </w:rPr>
              <w:t>Tak</w:t>
            </w:r>
            <w:r>
              <w:rPr>
                <w:b/>
                <w:vertAlign w:val="superscript"/>
              </w:rPr>
              <w:t>5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Web"/>
              <w:spacing w:before="0" w:after="0"/>
              <w:rPr/>
            </w:pPr>
            <w:r>
              <w:rPr/>
              <w:t>Miejscowe plany zagospodarowania przestrzennego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X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Web"/>
              <w:spacing w:before="0" w:after="0"/>
              <w:rPr/>
            </w:pPr>
            <w:r>
              <w:rPr/>
              <w:t>Studium uwarunkowań i kierunków zagospodarowania przestrzennego gminy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X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3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Web"/>
              <w:spacing w:before="0" w:after="0"/>
              <w:rPr/>
            </w:pPr>
            <w:r>
              <w:rPr/>
              <w:t>Decyzje o ustaleniu lokalizacji inwestycji celu publicznego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X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4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Web"/>
              <w:spacing w:before="0" w:after="0"/>
              <w:rPr/>
            </w:pPr>
            <w:r>
              <w:rPr/>
              <w:t xml:space="preserve">Wieloletnie plany rozwoju i modernizacji urządzeń wodociągowych </w:t>
              <w:br/>
              <w:t>i kanalizacyjnych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X</w:t>
            </w:r>
          </w:p>
        </w:tc>
      </w:tr>
      <w:tr>
        <w:trPr/>
        <w:tc>
          <w:tcPr>
            <w:tcW w:w="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pacing w:before="0" w:after="0"/>
              <w:jc w:val="center"/>
              <w:rPr/>
            </w:pPr>
            <w:r>
              <w:rPr/>
              <w:t>5</w:t>
            </w:r>
          </w:p>
        </w:tc>
        <w:tc>
          <w:tcPr>
            <w:tcW w:w="7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Web"/>
              <w:spacing w:before="0" w:after="0"/>
              <w:rPr/>
            </w:pPr>
            <w:r>
              <w:rPr/>
              <w:t xml:space="preserve">Inne (wymienić) </w:t>
            </w:r>
          </w:p>
        </w:tc>
        <w:tc>
          <w:tcPr>
            <w:tcW w:w="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Web"/>
              <w:snapToGrid w:val="false"/>
              <w:spacing w:before="0" w:after="0"/>
              <w:jc w:val="center"/>
              <w:rPr/>
            </w:pPr>
            <w:r>
              <w:rPr/>
            </w:r>
          </w:p>
        </w:tc>
      </w:tr>
    </w:tbl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Miejscowe plany zagospodarowania przestrzennego</w:t>
      </w:r>
    </w:p>
    <w:p>
      <w:pPr>
        <w:pStyle w:val="NormalWeb"/>
        <w:spacing w:before="0" w:after="0"/>
        <w:rPr>
          <w:color w:val="auto"/>
        </w:rPr>
      </w:pPr>
      <w:r>
        <w:rPr>
          <w:color w:val="auto"/>
        </w:rPr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VIII/68/2011 Rady Miejskiej w Mroczy z dnia 29 kwietnia 2011 r. w sprawie miejscowego planu zagospodarowania przestrzennego terenu działki nr 1305 położonej w miejscowości Mrocza</w:t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VI/44/2011 Rady Miejskiej w Mroczy z dnia 25 lutego 2011 r. w sprawie uchwalenia miejscowego planu zagospodarowania przestrzennego terenu pod zabudowę mieszkaniową jednorodzinną i usługi działki nr 1300 przy ulicy Piotra w Mroczy</w:t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XXIV/222/27/01 Rady Miejskiej w Mroczy z dnia 8 czerwca 2001 r. w sprawie miejscowych planów zagospodarowania przestrzennego terenów w Gminie Mrocza i zmian miejscowego planu ogólnego zagospodarowania przestrzennego gminy Mrocza we wsiach: Kosowo, Krukówko, Ostrowo, Rościmin, Wiele i Wyrza</w:t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XXVII/117/08 Rady Miejskiej w Mroczy z dnia 28 listopada 2008 r. w sprawie miejscowego planu zagospodarowania przestrzennego terenu działek nr 342/9 i 345 położonych w miejscowości Mrocza</w:t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VI/10/62/03 Rady Miejskiej w Mroczy z dnia 21 marca 2003 r. w sprawie miejscowych planów zagospodarowania przestrzennego terenów w Gminie Mrocza we wsiach: Białowieża, Jadwigowo, Orlinek, Drzewianowo, Drążno, Modrakowo, Krukówko, Rościmin, Samsieczynek, Konstantowo, Wiele, Orle, Witosław i Wyrza</w:t>
      </w:r>
    </w:p>
    <w:p>
      <w:pPr>
        <w:pStyle w:val="NormalWeb"/>
        <w:numPr>
          <w:ilvl w:val="0"/>
          <w:numId w:val="16"/>
        </w:numPr>
        <w:spacing w:before="0" w:after="0"/>
        <w:rPr>
          <w:color w:val="auto"/>
        </w:rPr>
      </w:pPr>
      <w:r>
        <w:rPr>
          <w:color w:val="auto"/>
        </w:rPr>
        <w:t>Uchwała nr VIII/61/2011 Rady Miejskiej w Mroczy z dnia 29 kwietnia 2011r. w sprawie miejscowego planu zagospodarowania przestrzennego terenu działki nr 198/17 położonej w miejscowości Drzewianowo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Studium uwarunkowań i kierunków zagospodarowania przestrzennego gminy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numPr>
          <w:ilvl w:val="0"/>
          <w:numId w:val="16"/>
        </w:numPr>
        <w:spacing w:before="0" w:after="0"/>
        <w:rPr/>
      </w:pPr>
      <w:r>
        <w:rPr/>
        <w:t>Uchwała Nr XX/180/2016 Rady Miejskiej w Mroczy z dnia 29 kwietnia 2016r.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numPr>
          <w:ilvl w:val="0"/>
          <w:numId w:val="9"/>
        </w:numPr>
        <w:spacing w:before="0" w:after="0"/>
        <w:rPr/>
      </w:pPr>
      <w:r>
        <w:rPr>
          <w:rStyle w:val="Wyrnienie"/>
          <w:sz w:val="24"/>
        </w:rPr>
        <w:t>Opis systemu zbierania ścieków komunalnych w obrębie aglomeracji</w:t>
      </w:r>
    </w:p>
    <w:p>
      <w:pPr>
        <w:pStyle w:val="NormalWeb"/>
        <w:spacing w:before="0" w:after="0"/>
        <w:ind w:left="360" w:hanging="0"/>
        <w:rPr/>
      </w:pPr>
      <w:r>
        <w:rPr/>
      </w:r>
    </w:p>
    <w:p>
      <w:pPr>
        <w:pStyle w:val="Normal"/>
        <w:numPr>
          <w:ilvl w:val="0"/>
          <w:numId w:val="6"/>
        </w:numPr>
        <w:rPr/>
      </w:pPr>
      <w:r>
        <w:rPr>
          <w:rStyle w:val="Wyrnienie"/>
          <w:rFonts w:eastAsia="Times New Roman"/>
          <w:sz w:val="24"/>
          <w:szCs w:val="24"/>
        </w:rPr>
        <w:t xml:space="preserve"> </w:t>
      </w:r>
      <w:r>
        <w:rPr>
          <w:rStyle w:val="Wyrnienie"/>
          <w:sz w:val="24"/>
          <w:szCs w:val="24"/>
        </w:rPr>
        <w:t>Informacje na temat długości i rodzaju istniejącej sieci kanalizacyjnej i liczby osób korzystających z istniejącej sieci kanalizacyjnej oraz długości i rodzaju sieci kanalizacyjnej i liczby osób korzystających z sieci kanalizacyjnej, na której wykonanie zostały pozyskane środki finansowe</w:t>
      </w:r>
    </w:p>
    <w:p>
      <w:pPr>
        <w:pStyle w:val="Legenda1"/>
        <w:keepNext w:val="true"/>
        <w:jc w:val="center"/>
        <w:rPr/>
      </w:pPr>
      <w:r>
        <w:rPr>
          <w:sz w:val="24"/>
          <w:szCs w:val="24"/>
        </w:rPr>
        <w:t>Tabela 1. Istniejąca sieć kanalizacyjna</w:t>
      </w:r>
    </w:p>
    <w:tbl>
      <w:tblPr>
        <w:tblW w:w="9450" w:type="dxa"/>
        <w:jc w:val="left"/>
        <w:tblInd w:w="-8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7"/>
        <w:gridCol w:w="2162"/>
        <w:gridCol w:w="1073"/>
        <w:gridCol w:w="1421"/>
        <w:gridCol w:w="1615"/>
        <w:gridCol w:w="1564"/>
        <w:gridCol w:w="1"/>
        <w:gridCol w:w="1046"/>
      </w:tblGrid>
      <w:tr>
        <w:trPr>
          <w:trHeight w:val="291" w:hRule="atLeast"/>
          <w:cantSplit w:val="true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6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Kanalizacja istniejąca</w:t>
            </w:r>
          </w:p>
        </w:tc>
        <w:tc>
          <w:tcPr>
            <w:tcW w:w="10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Długość</w:t>
            </w:r>
          </w:p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[km]</w:t>
            </w:r>
          </w:p>
        </w:tc>
        <w:tc>
          <w:tcPr>
            <w:tcW w:w="460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Liczba osób korzystających z istniejącej kanalizacji</w:t>
            </w:r>
          </w:p>
        </w:tc>
        <w:tc>
          <w:tcPr>
            <w:tcW w:w="104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Uwagi</w:t>
            </w:r>
          </w:p>
        </w:tc>
      </w:tr>
      <w:tr>
        <w:trPr>
          <w:cantSplit w:val="true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b/>
                <w:b/>
                <w:sz w:val="24"/>
                <w:szCs w:val="24"/>
                <w:highlight w:val="yellow"/>
                <w:lang w:eastAsia="pl-PL"/>
              </w:rPr>
            </w:pPr>
            <w:r>
              <w:rPr>
                <w:b/>
                <w:sz w:val="24"/>
                <w:szCs w:val="24"/>
                <w:highlight w:val="yellow"/>
                <w:lang w:eastAsia="pl-PL"/>
              </w:rPr>
            </w:r>
          </w:p>
        </w:tc>
        <w:tc>
          <w:tcPr>
            <w:tcW w:w="216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b/>
                <w:b/>
                <w:sz w:val="24"/>
                <w:szCs w:val="24"/>
                <w:highlight w:val="yellow"/>
                <w:lang w:eastAsia="pl-PL"/>
              </w:rPr>
            </w:pPr>
            <w:r>
              <w:rPr>
                <w:b/>
                <w:sz w:val="24"/>
                <w:szCs w:val="24"/>
                <w:highlight w:val="yellow"/>
                <w:lang w:eastAsia="pl-PL"/>
              </w:rPr>
            </w:r>
          </w:p>
        </w:tc>
        <w:tc>
          <w:tcPr>
            <w:tcW w:w="107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b/>
                <w:b/>
                <w:sz w:val="24"/>
                <w:szCs w:val="24"/>
                <w:highlight w:val="yellow"/>
                <w:lang w:eastAsia="pl-PL"/>
              </w:rPr>
            </w:pPr>
            <w:r>
              <w:rPr>
                <w:b/>
                <w:sz w:val="24"/>
                <w:szCs w:val="24"/>
                <w:highlight w:val="yellow"/>
                <w:lang w:eastAsia="pl-PL"/>
              </w:rPr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33" w:right="-108" w:hanging="33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Stali mieszkańcy</w:t>
            </w:r>
          </w:p>
        </w:tc>
        <w:tc>
          <w:tcPr>
            <w:tcW w:w="1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right="-108" w:hanging="0"/>
              <w:jc w:val="center"/>
              <w:rPr>
                <w:b/>
                <w:b/>
                <w:sz w:val="24"/>
                <w:szCs w:val="24"/>
                <w:lang w:eastAsia="pl-PL"/>
              </w:rPr>
            </w:pPr>
            <w:r>
              <w:rPr>
                <w:b/>
                <w:sz w:val="24"/>
                <w:szCs w:val="24"/>
                <w:lang w:eastAsia="pl-PL"/>
              </w:rPr>
              <w:t>Osoby czasowo przebywające na terenie aglomeracji</w:t>
            </w:r>
            <w:r>
              <w:rPr>
                <w:rStyle w:val="Zakotwiczenieprzypisudolnego"/>
                <w:rStyle w:val="Zakotwiczenieprzypisudolnego"/>
                <w:b/>
                <w:sz w:val="24"/>
                <w:szCs w:val="24"/>
                <w:lang w:eastAsia="pl-PL"/>
              </w:rPr>
              <w:footnoteReference w:id="3"/>
            </w:r>
          </w:p>
        </w:tc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Sumaryczna</w:t>
            </w:r>
          </w:p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liczba osób</w:t>
            </w:r>
          </w:p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[kol 4 + kol 5]</w:t>
            </w:r>
          </w:p>
        </w:tc>
        <w:tc>
          <w:tcPr>
            <w:tcW w:w="10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b/>
                <w:b/>
                <w:sz w:val="24"/>
                <w:szCs w:val="24"/>
                <w:lang w:eastAsia="pl-PL"/>
              </w:rPr>
            </w:pPr>
            <w:r>
              <w:rPr>
                <w:b/>
                <w:sz w:val="24"/>
                <w:szCs w:val="24"/>
                <w:lang w:eastAsia="pl-PL"/>
              </w:rPr>
            </w:r>
          </w:p>
        </w:tc>
      </w:tr>
      <w:tr>
        <w:trPr>
          <w:trHeight w:val="340" w:hRule="atLeast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24"/>
                <w:szCs w:val="24"/>
                <w:lang w:eastAsia="pl-PL"/>
              </w:rPr>
              <w:t>7</w:t>
            </w:r>
          </w:p>
        </w:tc>
      </w:tr>
      <w:tr>
        <w:trPr>
          <w:trHeight w:val="397" w:hRule="atLeast"/>
          <w:cantSplit w:val="true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rPr/>
            </w:pPr>
            <w:r>
              <w:rPr>
                <w:sz w:val="24"/>
                <w:szCs w:val="24"/>
                <w:lang w:eastAsia="pl-PL"/>
              </w:rPr>
              <w:t>Sanitarna grawitacyjna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38,04</w:t>
            </w:r>
          </w:p>
        </w:tc>
        <w:tc>
          <w:tcPr>
            <w:tcW w:w="142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6838</w:t>
            </w:r>
          </w:p>
        </w:tc>
        <w:tc>
          <w:tcPr>
            <w:tcW w:w="16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5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6923</w:t>
            </w:r>
          </w:p>
        </w:tc>
        <w:tc>
          <w:tcPr>
            <w:tcW w:w="104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rPr/>
            </w:pPr>
            <w:r>
              <w:rPr>
                <w:sz w:val="24"/>
                <w:szCs w:val="24"/>
                <w:lang w:eastAsia="pl-PL"/>
              </w:rPr>
              <w:t>Sanitarna tłoczna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53,53</w:t>
            </w:r>
          </w:p>
        </w:tc>
        <w:tc>
          <w:tcPr>
            <w:tcW w:w="142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61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56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0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highlight w:val="yellow"/>
                <w:lang w:eastAsia="pl-PL"/>
              </w:rPr>
            </w:pPr>
            <w:r>
              <w:rPr>
                <w:sz w:val="24"/>
                <w:szCs w:val="24"/>
                <w:highlight w:val="yellow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  <w:lang w:eastAsia="pl-PL"/>
              </w:rPr>
              <w:t>Ogólnospławna grawitacyjna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42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61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56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0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highlight w:val="yellow"/>
                <w:lang w:eastAsia="pl-PL"/>
              </w:rPr>
            </w:pPr>
            <w:r>
              <w:rPr>
                <w:sz w:val="24"/>
                <w:szCs w:val="24"/>
                <w:highlight w:val="yellow"/>
                <w:lang w:eastAsia="pl-PL"/>
              </w:rPr>
            </w:r>
          </w:p>
        </w:tc>
      </w:tr>
      <w:tr>
        <w:trPr>
          <w:trHeight w:val="397" w:hRule="atLeast"/>
          <w:cantSplit w:val="true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1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rPr/>
            </w:pPr>
            <w:r>
              <w:rPr>
                <w:sz w:val="24"/>
                <w:szCs w:val="24"/>
                <w:lang w:eastAsia="pl-PL"/>
              </w:rPr>
              <w:t>Ogólnospławna tłoczna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42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61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56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</w:r>
          </w:p>
        </w:tc>
        <w:tc>
          <w:tcPr>
            <w:tcW w:w="104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sz w:val="24"/>
                <w:szCs w:val="24"/>
                <w:highlight w:val="yellow"/>
                <w:lang w:eastAsia="pl-PL"/>
              </w:rPr>
            </w:pPr>
            <w:r>
              <w:rPr>
                <w:sz w:val="24"/>
                <w:szCs w:val="24"/>
                <w:highlight w:val="yellow"/>
                <w:lang w:eastAsia="pl-PL"/>
              </w:rPr>
            </w:r>
          </w:p>
        </w:tc>
      </w:tr>
      <w:tr>
        <w:trPr>
          <w:cantSplit w:val="true"/>
        </w:trPr>
        <w:tc>
          <w:tcPr>
            <w:tcW w:w="27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0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91,57</w:t>
            </w:r>
          </w:p>
        </w:tc>
        <w:tc>
          <w:tcPr>
            <w:tcW w:w="14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sz w:val="24"/>
                <w:szCs w:val="24"/>
                <w:lang w:eastAsia="pl-PL"/>
              </w:rPr>
              <w:t>6838</w:t>
            </w:r>
          </w:p>
        </w:tc>
        <w:tc>
          <w:tcPr>
            <w:tcW w:w="16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color w:val="000000"/>
                <w:sz w:val="24"/>
                <w:szCs w:val="24"/>
                <w:lang w:eastAsia="pl-PL"/>
              </w:rPr>
              <w:t>85</w:t>
            </w:r>
          </w:p>
        </w:tc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color w:val="000000"/>
                <w:sz w:val="24"/>
                <w:szCs w:val="24"/>
                <w:lang w:eastAsia="pl-PL"/>
              </w:rPr>
              <w:t>6923</w:t>
            </w:r>
          </w:p>
        </w:tc>
        <w:tc>
          <w:tcPr>
            <w:tcW w:w="10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284" w:hanging="284"/>
              <w:jc w:val="center"/>
              <w:rPr>
                <w:b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b/>
                <w:color w:val="000000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before="240" w:after="20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Tabela 2. Miejscowości tworzące aglomerację oraz działki wyłączone z granic aglomeracji</w:t>
      </w:r>
    </w:p>
    <w:p>
      <w:pPr>
        <w:pStyle w:val="Normal"/>
        <w:spacing w:before="240" w:after="200"/>
        <w:jc w:val="left"/>
        <w:rPr/>
      </w:pPr>
      <w:r>
        <w:rPr>
          <w:color w:val="000000"/>
        </w:rPr>
        <w:t>Granica aglomeracji obejmuje obszar objęty i przewidziany do objęcia zasięgiem systemu kanalizacji zbiorczej oraz przebiega wzdłuż zewnętrznych granic działek ewidencyjnych stanowiących najbardziej zewnętrzne części aglomeracji.</w:t>
      </w:r>
    </w:p>
    <w:tbl>
      <w:tblPr>
        <w:tblW w:w="9165" w:type="dxa"/>
        <w:jc w:val="left"/>
        <w:tblInd w:w="19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40"/>
        <w:gridCol w:w="1905"/>
        <w:gridCol w:w="4920"/>
      </w:tblGrid>
      <w:tr>
        <w:trPr>
          <w:trHeight w:val="628" w:hRule="atLeast"/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8D8D8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Miejscowość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8D8D8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Nr</w:t>
            </w:r>
          </w:p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obrębu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8D8D8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Nr działki wyłączonej z aglomeracji</w:t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Białowieża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041002_5.0001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Jadwigowo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041002_5.0001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Orlinek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041002_5.0001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Drążno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041002_5.0002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Drążonek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041002_5.0002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Drzewianowo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041002_5.0003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108" w:hanging="0"/>
              <w:rPr/>
            </w:pPr>
            <w:r>
              <w:rPr>
                <w:sz w:val="24"/>
                <w:szCs w:val="24"/>
              </w:rPr>
              <w:t>191, 198/3, 257/17, 198/7, 198/21</w:t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Izabela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041002_5.0004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Jeziorki</w:t>
            </w:r>
          </w:p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Zabartowskie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041002_5.0005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Rajgród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041002_5.0013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Kosowo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041002_5.0007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Kozia Góra Krajeńska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041002_5.0007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Modrakowo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041002_5.0010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Krukówko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041002_5.0008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Ostrowo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041002_5.0012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108" w:hanging="0"/>
              <w:rPr/>
            </w:pPr>
            <w:r>
              <w:rPr>
                <w:sz w:val="24"/>
                <w:szCs w:val="24"/>
              </w:rPr>
              <w:t>58/40</w:t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Chwałka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041002_5.0012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Słupówko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041002_5.0012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Rościmin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041002_5.0014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119/3, 170, 23/26, 25/3, 23/21</w:t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Wiele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041002_5.0016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Konstantowo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041002_5.0016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Witosław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041002_5.0017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Orle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041002_5.0011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cantSplit w:val="true"/>
        </w:trPr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284" w:hanging="284"/>
              <w:jc w:val="center"/>
              <w:rPr/>
            </w:pPr>
            <w:r>
              <w:rPr>
                <w:sz w:val="24"/>
                <w:szCs w:val="24"/>
              </w:rPr>
              <w:t>041002_4.0001</w:t>
            </w:r>
          </w:p>
        </w:tc>
        <w:tc>
          <w:tcPr>
            <w:tcW w:w="4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108" w:hanging="0"/>
              <w:rPr/>
            </w:pPr>
            <w:r>
              <w:rPr>
                <w:sz w:val="24"/>
                <w:szCs w:val="24"/>
              </w:rPr>
              <w:t>1305/4, 1305/5, 1305/6 1294/2 1305/19, 1305/9</w:t>
            </w:r>
          </w:p>
        </w:tc>
      </w:tr>
    </w:tbl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footnotePr>
            <w:numFmt w:val="decimal"/>
          </w:footnotePr>
          <w:type w:val="nextPage"/>
          <w:pgSz w:w="11906" w:h="16838"/>
          <w:pgMar w:left="1417" w:right="1417" w:header="708" w:top="1417" w:footer="708" w:bottom="1417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egenda1"/>
        <w:keepNext w:val="true"/>
        <w:jc w:val="center"/>
        <w:rPr/>
      </w:pPr>
      <w:r>
        <w:rPr>
          <w:rStyle w:val="Wyrnienie"/>
          <w:sz w:val="24"/>
          <w:szCs w:val="24"/>
        </w:rPr>
        <w:t xml:space="preserve">Tabela 3 Liczba stałych mieszkańców w </w:t>
      </w:r>
      <w:r>
        <w:rPr>
          <w:sz w:val="24"/>
          <w:szCs w:val="24"/>
        </w:rPr>
        <w:t>planowanej aglomeracji</w:t>
      </w:r>
    </w:p>
    <w:tbl>
      <w:tblPr>
        <w:tblW w:w="1610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78"/>
        <w:gridCol w:w="1779"/>
        <w:gridCol w:w="2"/>
        <w:gridCol w:w="1871"/>
        <w:gridCol w:w="2"/>
        <w:gridCol w:w="1071"/>
        <w:gridCol w:w="1"/>
        <w:gridCol w:w="1791"/>
        <w:gridCol w:w="3"/>
        <w:gridCol w:w="1804"/>
        <w:gridCol w:w="3"/>
        <w:gridCol w:w="1536"/>
        <w:gridCol w:w="4"/>
        <w:gridCol w:w="1676"/>
        <w:gridCol w:w="3"/>
        <w:gridCol w:w="2176"/>
        <w:gridCol w:w="2"/>
        <w:gridCol w:w="3"/>
        <w:gridCol w:w="1897"/>
      </w:tblGrid>
      <w:tr>
        <w:trPr>
          <w:trHeight w:val="578" w:hRule="atLeast"/>
          <w:cantSplit w:val="true"/>
        </w:trPr>
        <w:tc>
          <w:tcPr>
            <w:tcW w:w="4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7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Nazwa miejscowości</w:t>
            </w:r>
          </w:p>
        </w:tc>
        <w:tc>
          <w:tcPr>
            <w:tcW w:w="187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 xml:space="preserve">Rzeczywistych </w:t>
            </w:r>
            <w:r>
              <w:rPr>
                <w:bCs/>
                <w:sz w:val="24"/>
                <w:szCs w:val="24"/>
              </w:rPr>
              <w:t>(liczba mieszkańców całej miejscowości)</w:t>
            </w:r>
          </w:p>
        </w:tc>
        <w:tc>
          <w:tcPr>
            <w:tcW w:w="1007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Liczba stałych mieszkańców w aglomeracji</w:t>
            </w:r>
          </w:p>
        </w:tc>
        <w:tc>
          <w:tcPr>
            <w:tcW w:w="190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liczba stałych mieszkańców niemających technicznych możliwości podłączenia się do sieci – poza aglomeracją</w:t>
            </w:r>
          </w:p>
        </w:tc>
      </w:tr>
      <w:tr>
        <w:trPr>
          <w:trHeight w:val="1145" w:hRule="atLeast"/>
          <w:cantSplit w:val="true"/>
        </w:trPr>
        <w:tc>
          <w:tcPr>
            <w:tcW w:w="47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73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podłączonych do istniejących sieci kanalizacyjnych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planowanych do podłączenia do nowobudowanej sieci kanalizacyjnej</w:t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planowanych do podłączenia</w:t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 xml:space="preserve">którzy będą korzystali z sieci kanalizacyjnej, która jest </w:t>
              <w:br/>
              <w:t>w trakcie realizacji</w:t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 xml:space="preserve">korzystających </w:t>
              <w:br/>
              <w:t xml:space="preserve">z indywidualnych systemów oczyszczania ścieków </w:t>
              <w:br/>
            </w:r>
            <w:r>
              <w:rPr>
                <w:bCs/>
                <w:sz w:val="24"/>
                <w:szCs w:val="24"/>
              </w:rPr>
              <w:t>(zbiorniki bezodpływowe oraz przydomowe oczyszczalnie ścieków)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10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Białowieża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Jadwigowo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Orlinek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16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Drążno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Drążonek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Drzewianowo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56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Izabela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Jeziorki Zabartowskie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Rajgród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Kosowo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Kozia Góra Krajeńska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Modrakowo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Krukówko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Ostrowo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24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Chwałka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Słupówko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Rościmin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72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Wiele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32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Konstrantowo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144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Witosław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17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Orle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>
        <w:trPr>
          <w:trHeight w:val="207" w:hRule="atLeast"/>
          <w:cantSplit w:val="true"/>
        </w:trPr>
        <w:tc>
          <w:tcPr>
            <w:tcW w:w="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 xml:space="preserve">22 </w:t>
            </w:r>
          </w:p>
        </w:tc>
        <w:tc>
          <w:tcPr>
            <w:tcW w:w="1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Mrocza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4186</w:t>
            </w:r>
          </w:p>
        </w:tc>
        <w:tc>
          <w:tcPr>
            <w:tcW w:w="10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4186</w:t>
            </w:r>
          </w:p>
        </w:tc>
        <w:tc>
          <w:tcPr>
            <w:tcW w:w="17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3758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1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16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19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22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18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7956</w:t>
            </w:r>
          </w:p>
        </w:tc>
        <w:tc>
          <w:tcPr>
            <w:tcW w:w="10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color w:val="00000A"/>
              </w:rPr>
              <w:t>7670</w:t>
            </w:r>
          </w:p>
        </w:tc>
        <w:tc>
          <w:tcPr>
            <w:tcW w:w="179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6838</w:t>
            </w:r>
          </w:p>
        </w:tc>
        <w:tc>
          <w:tcPr>
            <w:tcW w:w="18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5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67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262</w:t>
            </w:r>
          </w:p>
        </w:tc>
        <w:tc>
          <w:tcPr>
            <w:tcW w:w="2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286</w:t>
            </w:r>
          </w:p>
        </w:tc>
      </w:tr>
    </w:tbl>
    <w:p>
      <w:pPr>
        <w:pStyle w:val="Normal"/>
        <w:rPr/>
      </w:pPr>
      <w:r>
        <w:rPr>
          <w:b/>
          <w:sz w:val="24"/>
          <w:szCs w:val="24"/>
        </w:rPr>
        <w:t xml:space="preserve">Uwaga: </w:t>
      </w:r>
    </w:p>
    <w:p>
      <w:pPr>
        <w:pStyle w:val="ListParagraph"/>
        <w:widowControl w:val="false"/>
        <w:numPr>
          <w:ilvl w:val="0"/>
          <w:numId w:val="3"/>
        </w:numPr>
        <w:spacing w:before="0" w:after="0"/>
        <w:contextualSpacing/>
        <w:rPr/>
      </w:pPr>
      <w:r>
        <w:rPr>
          <w:sz w:val="24"/>
          <w:szCs w:val="24"/>
        </w:rPr>
        <w:t xml:space="preserve">Suma liczby stałych mieszkańców aglomeracji ogółem (kol. 4) i </w:t>
      </w:r>
      <w:r>
        <w:rPr>
          <w:bCs/>
          <w:sz w:val="24"/>
          <w:szCs w:val="24"/>
        </w:rPr>
        <w:t xml:space="preserve">liczba stałych mieszkańców aglomeracji niemających technicznych możliwości podłączenia się </w:t>
        <w:br/>
        <w:t>do sieci – poza aglomeracją (kol. 10) musi się równać liczbie rzeczywistych mieszkańców miejscowości (kol. 3)</w:t>
      </w:r>
    </w:p>
    <w:p>
      <w:pPr>
        <w:pStyle w:val="ListParagraph"/>
        <w:jc w:val="center"/>
        <w:rPr/>
      </w:pPr>
      <w:r>
        <w:rPr>
          <w:sz w:val="24"/>
          <w:szCs w:val="24"/>
        </w:rPr>
        <w:t>kol. 3 = kol. 4 + kol. 10</w:t>
      </w:r>
    </w:p>
    <w:p>
      <w:pPr>
        <w:pStyle w:val="ListParagraph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spacing w:before="0" w:after="0"/>
        <w:contextualSpacing/>
        <w:rPr/>
      </w:pPr>
      <w:r>
        <w:rPr>
          <w:sz w:val="24"/>
          <w:szCs w:val="24"/>
        </w:rPr>
        <w:t>Suma l</w:t>
      </w:r>
      <w:r>
        <w:rPr>
          <w:bCs/>
          <w:sz w:val="24"/>
          <w:szCs w:val="24"/>
        </w:rPr>
        <w:t xml:space="preserve">iczby stałych mieszkańców aglomeracji podłączonych do istniejących sieci kanalizacyjnych (kol. 5) i liczby stałych mieszkańców </w:t>
        <w:br/>
        <w:t xml:space="preserve">aglomeracji planowanych do podłączenia do nowobudowanej sieci kanalizacyjnej (kol. 6) i liczby stałych mieszkańców aglomeracji mających techniczną możliwość korzystania z istniejącej sieci kanalizacyjnej (kol. 7) i liczby stałych mieszkańców aglomeracji którzy będą korzystali z sieci kanalizacyjnej która jest w trakcie realizacji (kol. 8) i liczby stałych mieszkańców aglomeracji korzystających z indywidualnych systemów oczyszczania ścieków (zbiorniki bezodpływowe oraz przydomowe oczyszczalnie ścieków) (kol. 9) musi się równać liczbie stałych mieszkańców aglomeracji ogółem (kol. 4) </w:t>
      </w:r>
    </w:p>
    <w:p>
      <w:pPr>
        <w:sectPr>
          <w:headerReference w:type="default" r:id="rId6"/>
          <w:footerReference w:type="default" r:id="rId7"/>
          <w:footnotePr>
            <w:numFmt w:val="decimal"/>
          </w:footnotePr>
          <w:type w:val="nextPage"/>
          <w:pgSz w:orient="landscape" w:w="16838" w:h="11906"/>
          <w:pgMar w:left="1417" w:right="1417" w:header="708" w:top="1417" w:footer="708" w:bottom="1417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0"/>
        <w:jc w:val="center"/>
        <w:rPr/>
      </w:pPr>
      <w:r>
        <w:rPr>
          <w:sz w:val="24"/>
          <w:szCs w:val="24"/>
        </w:rPr>
        <w:t>kol. 4 = kol. 5 + kol. 6 + kol. 7 + kol. 8 + kol. 9</w:t>
      </w:r>
    </w:p>
    <w:p>
      <w:pPr>
        <w:pStyle w:val="Normal"/>
        <w:numPr>
          <w:ilvl w:val="0"/>
          <w:numId w:val="6"/>
        </w:numPr>
        <w:rPr/>
      </w:pPr>
      <w:r>
        <w:rPr>
          <w:rStyle w:val="Wyrnienie"/>
          <w:rFonts w:eastAsia="Times New Roman"/>
          <w:sz w:val="24"/>
          <w:szCs w:val="24"/>
        </w:rPr>
        <w:t xml:space="preserve"> </w:t>
      </w:r>
      <w:r>
        <w:rPr>
          <w:rStyle w:val="Wyrnienie"/>
          <w:sz w:val="24"/>
          <w:szCs w:val="24"/>
        </w:rPr>
        <w:t xml:space="preserve">Informacje na temat długości i rodzaju planowanej do wykonania sieci kanalizacyjnej w celu dostosowania aglomeracji do warunków określonych w Dyrektywie Rady z dnia 21 maja 1991 r. dotyczącej oczyszczania ścieków komunalnych (91/271/EWG) oraz liczby osób korzystających z planowanej sieci kanalizacyjnej. </w:t>
      </w:r>
    </w:p>
    <w:p>
      <w:pPr>
        <w:pStyle w:val="NormalWeb"/>
        <w:tabs>
          <w:tab w:val="left" w:pos="1605" w:leader="none"/>
        </w:tabs>
        <w:spacing w:before="0" w:after="240"/>
        <w:ind w:left="720" w:hanging="0"/>
        <w:jc w:val="center"/>
        <w:rPr>
          <w:b/>
          <w:b/>
        </w:rPr>
      </w:pPr>
      <w:r>
        <w:rPr>
          <w:b/>
        </w:rPr>
        <w:t>Tabela 4 Planowana sieć kanalizacyjna</w:t>
      </w:r>
    </w:p>
    <w:tbl>
      <w:tblPr>
        <w:tblW w:w="9388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3"/>
        <w:gridCol w:w="1748"/>
        <w:gridCol w:w="1579"/>
        <w:gridCol w:w="1256"/>
        <w:gridCol w:w="1035"/>
        <w:gridCol w:w="1636"/>
        <w:gridCol w:w="1580"/>
      </w:tblGrid>
      <w:tr>
        <w:trPr/>
        <w:tc>
          <w:tcPr>
            <w:tcW w:w="5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174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Nazwa miejscowości</w:t>
            </w:r>
          </w:p>
        </w:tc>
        <w:tc>
          <w:tcPr>
            <w:tcW w:w="2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Długość planowanej sieci kanalizacyjnej [km]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Łączna długość sieci</w:t>
            </w:r>
          </w:p>
          <w:p>
            <w:pPr>
              <w:pStyle w:val="Default"/>
              <w:jc w:val="center"/>
              <w:rPr/>
            </w:pPr>
            <w:r>
              <w:rPr>
                <w:b/>
              </w:rPr>
              <w:t>[km]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Liczba mieszkańców planowanych do podłączenia</w:t>
            </w:r>
          </w:p>
        </w:tc>
        <w:tc>
          <w:tcPr>
            <w:tcW w:w="1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Wskaźnik koncentracji</w:t>
            </w:r>
          </w:p>
        </w:tc>
      </w:tr>
      <w:tr>
        <w:trPr/>
        <w:tc>
          <w:tcPr>
            <w:tcW w:w="55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  <w:highlight w:val="yellow"/>
              </w:rPr>
            </w:pPr>
            <w:r>
              <w:rPr>
                <w:b/>
                <w:highlight w:val="yellow"/>
              </w:rPr>
            </w:r>
          </w:p>
        </w:tc>
        <w:tc>
          <w:tcPr>
            <w:tcW w:w="174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  <w:highlight w:val="yellow"/>
              </w:rPr>
            </w:pPr>
            <w:r>
              <w:rPr>
                <w:b/>
                <w:highlight w:val="yellow"/>
              </w:rPr>
            </w:r>
          </w:p>
        </w:tc>
        <w:tc>
          <w:tcPr>
            <w:tcW w:w="1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rurociągi grawitacyjne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rurociągi tłoczne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</w:t>
            </w:r>
          </w:p>
        </w:tc>
        <w:tc>
          <w:tcPr>
            <w:tcW w:w="1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Mrocza – Osiedle ODJ</w:t>
            </w:r>
          </w:p>
        </w:tc>
        <w:tc>
          <w:tcPr>
            <w:tcW w:w="1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1,960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0,676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2,636</w:t>
            </w:r>
          </w:p>
        </w:tc>
        <w:tc>
          <w:tcPr>
            <w:tcW w:w="163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360</w:t>
            </w:r>
          </w:p>
        </w:tc>
        <w:tc>
          <w:tcPr>
            <w:tcW w:w="158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120,36</w:t>
            </w:r>
          </w:p>
        </w:tc>
      </w:tr>
      <w:tr>
        <w:trPr/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2</w:t>
            </w:r>
          </w:p>
        </w:tc>
        <w:tc>
          <w:tcPr>
            <w:tcW w:w="1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Mrocza – ul. Drzewianowska</w:t>
            </w:r>
          </w:p>
        </w:tc>
        <w:tc>
          <w:tcPr>
            <w:tcW w:w="1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-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0,140</w:t>
            </w:r>
          </w:p>
        </w:tc>
        <w:tc>
          <w:tcPr>
            <w:tcW w:w="16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</w:r>
          </w:p>
        </w:tc>
        <w:tc>
          <w:tcPr>
            <w:tcW w:w="158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Mrocza – ul. Kościuszki</w:t>
            </w:r>
          </w:p>
        </w:tc>
        <w:tc>
          <w:tcPr>
            <w:tcW w:w="1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0,215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0,215</w:t>
            </w:r>
          </w:p>
        </w:tc>
        <w:tc>
          <w:tcPr>
            <w:tcW w:w="16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/>
            </w:r>
          </w:p>
        </w:tc>
        <w:tc>
          <w:tcPr>
            <w:tcW w:w="158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23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Razem</w:t>
            </w:r>
          </w:p>
        </w:tc>
        <w:tc>
          <w:tcPr>
            <w:tcW w:w="1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2,315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0,676</w:t>
            </w:r>
          </w:p>
        </w:tc>
        <w:tc>
          <w:tcPr>
            <w:tcW w:w="1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2,991</w:t>
            </w:r>
          </w:p>
        </w:tc>
        <w:tc>
          <w:tcPr>
            <w:tcW w:w="1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360</w:t>
            </w:r>
          </w:p>
        </w:tc>
        <w:tc>
          <w:tcPr>
            <w:tcW w:w="1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120,36</w:t>
            </w:r>
          </w:p>
        </w:tc>
      </w:tr>
    </w:tbl>
    <w:p>
      <w:pPr>
        <w:pStyle w:val="Style25"/>
        <w:keepNext w:val="true"/>
        <w:keepLines/>
        <w:shd w:val="clear" w:color="auto" w:fill="auto"/>
        <w:spacing w:lineRule="auto" w:line="240" w:before="240" w:after="296"/>
        <w:ind w:left="720" w:right="120" w:hanging="0"/>
        <w:rPr>
          <w:sz w:val="24"/>
          <w:szCs w:val="24"/>
        </w:rPr>
      </w:pPr>
      <w:r>
        <w:rPr>
          <w:sz w:val="24"/>
          <w:szCs w:val="24"/>
        </w:rPr>
        <w:t>Przewidywany termin budowy planowanej sieci kanalizacyjnej w miejscowości Mrocza: 31.12.2025 r.</w:t>
      </w:r>
    </w:p>
    <w:p>
      <w:pPr>
        <w:pStyle w:val="Style25"/>
        <w:keepNext w:val="true"/>
        <w:keepLines/>
        <w:shd w:val="clear" w:color="auto" w:fill="auto"/>
        <w:spacing w:lineRule="auto" w:line="240" w:before="240" w:after="296"/>
        <w:ind w:left="720" w:right="120" w:hanging="0"/>
        <w:rPr>
          <w:sz w:val="24"/>
          <w:szCs w:val="24"/>
        </w:rPr>
      </w:pPr>
      <w:r>
        <w:rPr>
          <w:sz w:val="24"/>
          <w:szCs w:val="24"/>
        </w:rPr>
        <w:t>Przewidywany termin podłączenia wszystkich mieszkańców w miejscowości Drzewianowo: 31.12.2021 r.</w:t>
      </w:r>
    </w:p>
    <w:p>
      <w:pPr>
        <w:pStyle w:val="Style25"/>
        <w:keepNext w:val="true"/>
        <w:keepLines/>
        <w:numPr>
          <w:ilvl w:val="0"/>
          <w:numId w:val="6"/>
        </w:numPr>
        <w:shd w:val="clear" w:color="auto" w:fill="auto"/>
        <w:spacing w:lineRule="auto" w:line="240" w:before="240" w:after="296"/>
        <w:ind w:left="720" w:right="120" w:hanging="360"/>
        <w:rPr/>
      </w:pPr>
      <w:r>
        <w:rPr>
          <w:sz w:val="24"/>
          <w:szCs w:val="24"/>
        </w:rPr>
        <w:t xml:space="preserve"> </w:t>
      </w:r>
      <w:r>
        <w:rPr>
          <w:rStyle w:val="Wyrnienie"/>
          <w:sz w:val="24"/>
          <w:szCs w:val="24"/>
        </w:rPr>
        <w:t>Liczba zarejestrowanych miejsc noclegowych</w:t>
      </w:r>
      <w:bookmarkStart w:id="0" w:name="_GoBack"/>
      <w:bookmarkEnd w:id="0"/>
    </w:p>
    <w:p>
      <w:pPr>
        <w:pStyle w:val="Style25"/>
        <w:keepNext w:val="true"/>
        <w:keepLines/>
        <w:shd w:val="clear" w:color="auto" w:fill="auto"/>
        <w:spacing w:lineRule="auto" w:line="240" w:before="240" w:after="296"/>
        <w:ind w:left="560" w:right="120" w:hanging="440"/>
        <w:jc w:val="center"/>
        <w:rPr/>
      </w:pPr>
      <w:r>
        <w:rPr>
          <w:rStyle w:val="Wyrnienie"/>
          <w:sz w:val="24"/>
          <w:szCs w:val="24"/>
        </w:rPr>
        <w:t>Tabela 5.1 Liczba zarejestrowanych miejsc noclegowych korzystających z sieci kanalizacyjnej</w:t>
      </w:r>
    </w:p>
    <w:tbl>
      <w:tblPr>
        <w:tblW w:w="6859" w:type="dxa"/>
        <w:jc w:val="left"/>
        <w:tblInd w:w="124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00"/>
        <w:gridCol w:w="2866"/>
        <w:gridCol w:w="3093"/>
      </w:tblGrid>
      <w:tr>
        <w:trPr>
          <w:trHeight w:val="700" w:hRule="atLeast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Nazwa miejscowości</w:t>
            </w:r>
          </w:p>
        </w:tc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Liczba zarejestrowanych miejsc noclegowych</w:t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</w:t>
            </w:r>
          </w:p>
        </w:tc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Mrocza</w:t>
            </w:r>
          </w:p>
        </w:tc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25</w:t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2</w:t>
            </w:r>
          </w:p>
        </w:tc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Rościmin</w:t>
            </w:r>
          </w:p>
        </w:tc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60</w:t>
            </w:r>
          </w:p>
        </w:tc>
      </w:tr>
    </w:tbl>
    <w:p>
      <w:pPr>
        <w:pStyle w:val="Normal"/>
        <w:keepNext w:val="true"/>
        <w:keepLines/>
        <w:spacing w:before="0" w:after="0"/>
        <w:ind w:right="120" w:hanging="0"/>
        <w:rPr>
          <w:strike/>
          <w:sz w:val="24"/>
          <w:szCs w:val="24"/>
          <w:highlight w:val="yellow"/>
        </w:rPr>
      </w:pPr>
      <w:r>
        <w:rPr>
          <w:strike/>
          <w:sz w:val="24"/>
          <w:szCs w:val="24"/>
          <w:highlight w:val="yellow"/>
        </w:rPr>
      </w:r>
    </w:p>
    <w:p>
      <w:pPr>
        <w:pStyle w:val="Normal"/>
        <w:spacing w:before="0" w:after="0"/>
        <w:ind w:right="120" w:hanging="0"/>
        <w:jc w:val="center"/>
        <w:rPr>
          <w:b/>
          <w:b/>
          <w:bCs/>
          <w:sz w:val="24"/>
          <w:szCs w:val="24"/>
        </w:rPr>
      </w:pPr>
      <w:r>
        <w:rPr>
          <w:rStyle w:val="Wyrnienie"/>
          <w:sz w:val="24"/>
          <w:szCs w:val="24"/>
        </w:rPr>
        <w:t xml:space="preserve">Tabela 5.2 </w:t>
      </w:r>
      <w:r>
        <w:rPr>
          <w:b/>
          <w:bCs/>
          <w:sz w:val="24"/>
          <w:szCs w:val="24"/>
        </w:rPr>
        <w:t>Liczba osób czasowo przebywających, planowanych do przyłączenia do sieci kanalizacyjnej</w:t>
      </w:r>
    </w:p>
    <w:p>
      <w:pPr>
        <w:pStyle w:val="Normal"/>
        <w:spacing w:before="0" w:after="0"/>
        <w:ind w:right="120" w:hanging="0"/>
        <w:rPr/>
      </w:pPr>
      <w:r>
        <w:rPr/>
      </w:r>
    </w:p>
    <w:tbl>
      <w:tblPr>
        <w:tblW w:w="6859" w:type="dxa"/>
        <w:jc w:val="left"/>
        <w:tblInd w:w="124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00"/>
        <w:gridCol w:w="2866"/>
        <w:gridCol w:w="3093"/>
      </w:tblGrid>
      <w:tr>
        <w:trPr>
          <w:trHeight w:val="700" w:hRule="atLeast"/>
        </w:trPr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Nazwa miejscowości</w:t>
            </w:r>
          </w:p>
        </w:tc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Liczba turystów i osób czasowo przebywających na terenie gminy</w:t>
            </w:r>
          </w:p>
        </w:tc>
      </w:tr>
      <w:tr>
        <w:trPr/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</w:t>
            </w:r>
          </w:p>
        </w:tc>
        <w:tc>
          <w:tcPr>
            <w:tcW w:w="2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Drzewianowo</w:t>
            </w:r>
          </w:p>
        </w:tc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  <w:lang w:eastAsia="pl-PL"/>
              </w:rPr>
              <w:t>840</w:t>
            </w:r>
          </w:p>
        </w:tc>
      </w:tr>
    </w:tbl>
    <w:p>
      <w:pPr>
        <w:pStyle w:val="Normal"/>
        <w:ind w:left="786" w:hanging="0"/>
        <w:rPr/>
      </w:pPr>
      <w:r>
        <w:rPr/>
      </w:r>
    </w:p>
    <w:p>
      <w:pPr>
        <w:pStyle w:val="Normal"/>
        <w:ind w:left="786" w:hanging="0"/>
        <w:rPr/>
      </w:pPr>
      <w:r>
        <w:rPr/>
      </w:r>
    </w:p>
    <w:p>
      <w:pPr>
        <w:pStyle w:val="Normal"/>
        <w:numPr>
          <w:ilvl w:val="0"/>
          <w:numId w:val="4"/>
        </w:numPr>
        <w:ind w:left="426" w:hanging="360"/>
        <w:rPr/>
      </w:pPr>
      <w:r>
        <w:rPr>
          <w:rStyle w:val="Wyrnienie"/>
          <w:sz w:val="24"/>
          <w:szCs w:val="24"/>
        </w:rPr>
        <w:t>Opis gospodarki ściekowej w aglomeracji</w:t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851" w:hanging="426"/>
        <w:rPr/>
      </w:pPr>
      <w:r>
        <w:rPr>
          <w:rStyle w:val="Wyrnienie"/>
          <w:sz w:val="24"/>
          <w:szCs w:val="24"/>
        </w:rPr>
        <w:t xml:space="preserve">Informacje na temat oczyszczalni ścieków </w:t>
      </w:r>
    </w:p>
    <w:p>
      <w:pPr>
        <w:pStyle w:val="Normal"/>
        <w:shd w:val="clear" w:color="auto" w:fill="FFFFFF"/>
        <w:spacing w:before="0" w:after="0"/>
        <w:ind w:left="426" w:hanging="42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a) Nazwa oczyszczalni ścieków: Mrocza</w:t>
      </w:r>
    </w:p>
    <w:p>
      <w:pPr>
        <w:pStyle w:val="Normal"/>
        <w:rPr/>
      </w:pPr>
      <w:r>
        <w:rPr>
          <w:color w:val="000000"/>
          <w:sz w:val="24"/>
          <w:szCs w:val="24"/>
        </w:rPr>
        <w:t xml:space="preserve">Lokalizacja oczyszczalni ścieków (adres): ul. Akacjowa 2 89-115 Mrocza </w:t>
      </w:r>
    </w:p>
    <w:p>
      <w:pPr>
        <w:pStyle w:val="Normal"/>
        <w:rPr/>
      </w:pPr>
      <w:r>
        <w:rPr>
          <w:sz w:val="24"/>
          <w:szCs w:val="24"/>
        </w:rPr>
        <w:t>Dane kontaktowe (telefon, e-mail, fax): 523856010</w:t>
      </w:r>
    </w:p>
    <w:p>
      <w:pPr>
        <w:pStyle w:val="Normal"/>
        <w:rPr/>
      </w:pPr>
      <w:r>
        <w:rPr>
          <w:sz w:val="24"/>
          <w:szCs w:val="24"/>
        </w:rPr>
        <w:t>Pozwolenie wodnoprawne na odprowadzanie ścieków z oczyszczalni do środowiska (data, znak, oznaczenie organu, termin ważności decyzji): BD.ZUZ.1.421.154.2018.PK z dnia 03.09.2018 r. wydane przez Dyrektora Zarządu Zlewni Wód Polskich w Inowrocławiu, ważne do dnia 03.09.2028 r.</w:t>
      </w:r>
    </w:p>
    <w:p>
      <w:pPr>
        <w:pStyle w:val="Normal"/>
        <w:rPr/>
      </w:pPr>
      <w:r>
        <w:rPr>
          <w:sz w:val="24"/>
          <w:szCs w:val="24"/>
        </w:rPr>
        <w:t>Przepustowość oczyszczalni:</w:t>
      </w:r>
    </w:p>
    <w:p>
      <w:pPr>
        <w:pStyle w:val="Normal"/>
        <w:numPr>
          <w:ilvl w:val="0"/>
          <w:numId w:val="8"/>
        </w:numPr>
        <w:rPr/>
      </w:pPr>
      <w:r>
        <w:rPr>
          <w:sz w:val="24"/>
          <w:szCs w:val="24"/>
        </w:rPr>
        <w:t>średnia [m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/d]: 1236</w:t>
      </w:r>
    </w:p>
    <w:p>
      <w:pPr>
        <w:pStyle w:val="Normal"/>
        <w:numPr>
          <w:ilvl w:val="0"/>
          <w:numId w:val="8"/>
        </w:numPr>
        <w:rPr/>
      </w:pPr>
      <w:r>
        <w:rPr>
          <w:sz w:val="24"/>
          <w:szCs w:val="24"/>
        </w:rPr>
        <w:t>maksymalna [m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/d]: 1607</w:t>
      </w:r>
    </w:p>
    <w:p>
      <w:pPr>
        <w:pStyle w:val="Normal"/>
        <w:numPr>
          <w:ilvl w:val="0"/>
          <w:numId w:val="8"/>
        </w:numPr>
        <w:rPr/>
      </w:pPr>
      <w:r>
        <w:rPr>
          <w:sz w:val="24"/>
          <w:szCs w:val="24"/>
        </w:rPr>
        <w:t>maksymalna roczna [m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/rok]: 451147</w:t>
      </w:r>
    </w:p>
    <w:p>
      <w:pPr>
        <w:pStyle w:val="Normal"/>
        <w:rPr/>
      </w:pPr>
      <w:r>
        <w:rPr>
          <w:sz w:val="24"/>
          <w:szCs w:val="24"/>
        </w:rPr>
        <w:t xml:space="preserve">Projektowa wydajność oczyszczalni ścieków [RLM]: 9900 </w:t>
      </w:r>
    </w:p>
    <w:p>
      <w:pPr>
        <w:pStyle w:val="Normal"/>
        <w:rPr/>
      </w:pPr>
      <w:r>
        <w:rPr>
          <w:sz w:val="24"/>
          <w:szCs w:val="24"/>
        </w:rPr>
        <w:t xml:space="preserve">Ilość ścieków dostarczanych do oczyszczalni ścieków, zgodnie z danymi przedłożonymi </w:t>
        <w:br/>
        <w:t>w ostatnim sprawozdaniu z realizacji KPOŚK:</w:t>
      </w:r>
    </w:p>
    <w:p>
      <w:pPr>
        <w:pStyle w:val="Normal"/>
        <w:numPr>
          <w:ilvl w:val="0"/>
          <w:numId w:val="14"/>
        </w:numPr>
        <w:rPr/>
      </w:pPr>
      <w:r>
        <w:rPr>
          <w:color w:val="000000"/>
          <w:sz w:val="24"/>
          <w:szCs w:val="24"/>
        </w:rPr>
        <w:t>Ścieki dopływające siecią kanalizacyjną [tys. m</w:t>
      </w:r>
      <w:r>
        <w:rPr>
          <w:color w:val="000000"/>
          <w:sz w:val="24"/>
          <w:szCs w:val="24"/>
          <w:vertAlign w:val="superscript"/>
        </w:rPr>
        <w:t>3</w:t>
      </w:r>
      <w:r>
        <w:rPr>
          <w:color w:val="000000"/>
          <w:sz w:val="24"/>
          <w:szCs w:val="24"/>
        </w:rPr>
        <w:t>/r]: 193,0</w:t>
      </w:r>
    </w:p>
    <w:p>
      <w:pPr>
        <w:pStyle w:val="Normal"/>
        <w:numPr>
          <w:ilvl w:val="0"/>
          <w:numId w:val="14"/>
        </w:numPr>
        <w:rPr/>
      </w:pPr>
      <w:r>
        <w:rPr>
          <w:color w:val="000000"/>
          <w:sz w:val="24"/>
          <w:szCs w:val="24"/>
        </w:rPr>
        <w:t>Ścieki dowożone [tys. m</w:t>
      </w:r>
      <w:r>
        <w:rPr>
          <w:color w:val="000000"/>
          <w:sz w:val="24"/>
          <w:szCs w:val="24"/>
          <w:vertAlign w:val="superscript"/>
        </w:rPr>
        <w:t>3</w:t>
      </w:r>
      <w:r>
        <w:rPr>
          <w:color w:val="000000"/>
          <w:sz w:val="24"/>
          <w:szCs w:val="24"/>
        </w:rPr>
        <w:t>/r]: 18,0</w:t>
      </w:r>
    </w:p>
    <w:p>
      <w:pPr>
        <w:pStyle w:val="Normal"/>
        <w:numPr>
          <w:ilvl w:val="0"/>
          <w:numId w:val="14"/>
        </w:numPr>
        <w:rPr/>
      </w:pPr>
      <w:r>
        <w:rPr>
          <w:sz w:val="24"/>
          <w:szCs w:val="24"/>
        </w:rPr>
        <w:t>Ilość ścieków oczyszczonych w roku poprzednim [tys.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/rok]: 211 </w:t>
      </w:r>
    </w:p>
    <w:p>
      <w:pPr>
        <w:pStyle w:val="Normal"/>
        <w:numPr>
          <w:ilvl w:val="0"/>
          <w:numId w:val="14"/>
        </w:numPr>
        <w:suppressAutoHyphens w:val="false"/>
        <w:rPr>
          <w:sz w:val="24"/>
          <w:szCs w:val="24"/>
        </w:rPr>
      </w:pPr>
      <w:r>
        <w:rPr>
          <w:color w:val="000000"/>
          <w:sz w:val="24"/>
          <w:szCs w:val="24"/>
        </w:rPr>
        <w:t>Ścieki powstające na terenie aglomeracji nie ujęte w systemie kanalizacyjnym [m</w:t>
      </w:r>
      <w:r>
        <w:rPr>
          <w:color w:val="000000"/>
          <w:sz w:val="24"/>
          <w:szCs w:val="24"/>
          <w:vertAlign w:val="superscript"/>
        </w:rPr>
        <w:t>3</w:t>
      </w:r>
      <w:r>
        <w:rPr>
          <w:color w:val="000000"/>
          <w:sz w:val="24"/>
          <w:szCs w:val="24"/>
        </w:rPr>
        <w:t>/d]: 8</w:t>
      </w:r>
    </w:p>
    <w:p>
      <w:pPr>
        <w:pStyle w:val="Normal"/>
        <w:numPr>
          <w:ilvl w:val="0"/>
          <w:numId w:val="14"/>
        </w:numPr>
        <w:suppressAutoHyphens w:val="fal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Średnia dobowa ilość ścieków komunalnych powstających na terenie aglomeracji [m3/d]: 683,8</w:t>
      </w:r>
    </w:p>
    <w:p>
      <w:pPr>
        <w:pStyle w:val="Normal"/>
        <w:jc w:val="center"/>
        <w:rPr/>
      </w:pPr>
      <w:r>
        <w:rPr>
          <w:b/>
          <w:sz w:val="24"/>
          <w:szCs w:val="24"/>
        </w:rPr>
        <w:t>Tabela 6. Ilość ścieków w miesiącu</w:t>
      </w:r>
    </w:p>
    <w:tbl>
      <w:tblPr>
        <w:tblW w:w="9137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13"/>
        <w:gridCol w:w="689"/>
        <w:gridCol w:w="689"/>
        <w:gridCol w:w="690"/>
        <w:gridCol w:w="691"/>
        <w:gridCol w:w="688"/>
        <w:gridCol w:w="692"/>
        <w:gridCol w:w="691"/>
        <w:gridCol w:w="693"/>
        <w:gridCol w:w="688"/>
        <w:gridCol w:w="689"/>
        <w:gridCol w:w="691"/>
        <w:gridCol w:w="832"/>
      </w:tblGrid>
      <w:tr>
        <w:trPr/>
        <w:tc>
          <w:tcPr>
            <w:tcW w:w="7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pacing w:before="0" w:after="68"/>
              <w:jc w:val="center"/>
              <w:rPr/>
            </w:pPr>
            <w:r>
              <w:rPr>
                <w:b/>
              </w:rPr>
              <w:t>Rok</w:t>
            </w:r>
          </w:p>
        </w:tc>
        <w:tc>
          <w:tcPr>
            <w:tcW w:w="8423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Średnia dobowa ilość ścieków w miesiącu [m</w:t>
            </w:r>
            <w:r>
              <w:rPr>
                <w:b/>
                <w:vertAlign w:val="superscript"/>
              </w:rPr>
              <w:t>3</w:t>
            </w:r>
            <w:r>
              <w:rPr>
                <w:b/>
              </w:rPr>
              <w:t>]</w:t>
            </w:r>
          </w:p>
        </w:tc>
      </w:tr>
      <w:tr>
        <w:trPr/>
        <w:tc>
          <w:tcPr>
            <w:tcW w:w="71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I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II</w:t>
            </w:r>
          </w:p>
        </w:tc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III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IV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V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VI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VII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VIII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IX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X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XI</w:t>
            </w:r>
          </w:p>
        </w:tc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XII</w:t>
            </w:r>
          </w:p>
        </w:tc>
      </w:tr>
      <w:tr>
        <w:trPr/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2018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1230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1046</w:t>
            </w:r>
          </w:p>
        </w:tc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760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748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520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496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645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476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627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671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429</w:t>
            </w:r>
          </w:p>
        </w:tc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479</w:t>
            </w:r>
          </w:p>
        </w:tc>
      </w:tr>
      <w:tr>
        <w:trPr/>
        <w:tc>
          <w:tcPr>
            <w:tcW w:w="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2019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461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582</w:t>
            </w:r>
          </w:p>
        </w:tc>
        <w:tc>
          <w:tcPr>
            <w:tcW w:w="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rPr/>
            </w:pPr>
            <w:r>
              <w:rPr/>
              <w:t>597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622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563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469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467</w:t>
            </w:r>
          </w:p>
        </w:tc>
        <w:tc>
          <w:tcPr>
            <w:tcW w:w="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522</w:t>
            </w:r>
          </w:p>
        </w:tc>
        <w:tc>
          <w:tcPr>
            <w:tcW w:w="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540</w:t>
            </w:r>
          </w:p>
        </w:tc>
        <w:tc>
          <w:tcPr>
            <w:tcW w:w="6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585</w:t>
            </w:r>
          </w:p>
        </w:tc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683</w:t>
            </w:r>
          </w:p>
        </w:tc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852</w:t>
            </w:r>
          </w:p>
        </w:tc>
      </w:tr>
    </w:tbl>
    <w:p>
      <w:pPr>
        <w:pStyle w:val="NormalWeb"/>
        <w:spacing w:before="0" w:after="0"/>
        <w:ind w:left="709" w:hanging="425"/>
        <w:rPr/>
      </w:pPr>
      <w:r>
        <w:rPr/>
      </w:r>
    </w:p>
    <w:p>
      <w:pPr>
        <w:pStyle w:val="NormalWeb"/>
        <w:spacing w:before="0" w:after="0"/>
        <w:ind w:left="709" w:hanging="425"/>
        <w:jc w:val="center"/>
        <w:rPr/>
      </w:pPr>
      <w:r>
        <w:rPr>
          <w:b/>
        </w:rPr>
        <w:t>Tabela 7. Skład jakościowy ścieków komunalnych</w:t>
      </w:r>
    </w:p>
    <w:p>
      <w:pPr>
        <w:pStyle w:val="NormalWeb"/>
        <w:spacing w:before="0" w:after="0"/>
        <w:ind w:left="709" w:hanging="425"/>
        <w:rPr>
          <w:b/>
          <w:b/>
        </w:rPr>
      </w:pPr>
      <w:r>
        <w:rPr>
          <w:b/>
        </w:rPr>
      </w:r>
    </w:p>
    <w:tbl>
      <w:tblPr>
        <w:tblW w:w="9121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55"/>
        <w:gridCol w:w="1653"/>
        <w:gridCol w:w="1650"/>
        <w:gridCol w:w="1654"/>
        <w:gridCol w:w="1654"/>
        <w:gridCol w:w="1754"/>
      </w:tblGrid>
      <w:tr>
        <w:trPr>
          <w:trHeight w:val="363" w:hRule="atLeast"/>
        </w:trPr>
        <w:tc>
          <w:tcPr>
            <w:tcW w:w="75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Rok</w:t>
            </w:r>
          </w:p>
        </w:tc>
        <w:tc>
          <w:tcPr>
            <w:tcW w:w="836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Wskaźniki zanieczyszczeń</w:t>
            </w:r>
          </w:p>
        </w:tc>
      </w:tr>
      <w:tr>
        <w:trPr>
          <w:trHeight w:val="158" w:hRule="atLeast"/>
        </w:trPr>
        <w:tc>
          <w:tcPr>
            <w:tcW w:w="75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snapToGrid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BZT5</w:t>
            </w:r>
          </w:p>
          <w:p>
            <w:pPr>
              <w:pStyle w:val="Default"/>
              <w:jc w:val="center"/>
              <w:rPr/>
            </w:pPr>
            <w:r>
              <w:rPr/>
              <w:t>(mgO</w:t>
            </w:r>
            <w:r>
              <w:rPr>
                <w:vertAlign w:val="subscript"/>
              </w:rPr>
              <w:t>2</w:t>
            </w:r>
            <w:r>
              <w:rPr/>
              <w:t>/l)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CHZT</w:t>
            </w:r>
          </w:p>
          <w:p>
            <w:pPr>
              <w:pStyle w:val="Default"/>
              <w:jc w:val="center"/>
              <w:rPr/>
            </w:pPr>
            <w:r>
              <w:rPr/>
              <w:t>(mgO</w:t>
            </w:r>
            <w:r>
              <w:rPr>
                <w:vertAlign w:val="subscript"/>
              </w:rPr>
              <w:t>2</w:t>
            </w:r>
            <w:r>
              <w:rPr/>
              <w:t>/l)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Zawiesiny ogólne (mg/l)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Azot ogólny</w:t>
            </w:r>
          </w:p>
          <w:p>
            <w:pPr>
              <w:pStyle w:val="Default"/>
              <w:jc w:val="center"/>
              <w:rPr/>
            </w:pPr>
            <w:r>
              <w:rPr/>
              <w:t>(mgN/l)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Fosfor ogólny</w:t>
            </w:r>
          </w:p>
          <w:p>
            <w:pPr>
              <w:pStyle w:val="Default"/>
              <w:jc w:val="center"/>
              <w:rPr/>
            </w:pPr>
            <w:r>
              <w:rPr/>
              <w:t>(mgP/l)</w:t>
            </w:r>
          </w:p>
        </w:tc>
      </w:tr>
      <w:tr>
        <w:trPr>
          <w:trHeight w:val="363" w:hRule="atLeast"/>
        </w:trPr>
        <w:tc>
          <w:tcPr>
            <w:tcW w:w="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2018</w:t>
            </w:r>
          </w:p>
        </w:tc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245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741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308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81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8</w:t>
            </w:r>
          </w:p>
        </w:tc>
      </w:tr>
      <w:tr>
        <w:trPr>
          <w:trHeight w:val="363" w:hRule="atLeast"/>
        </w:trPr>
        <w:tc>
          <w:tcPr>
            <w:tcW w:w="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b/>
              </w:rPr>
              <w:t>2019</w:t>
            </w:r>
          </w:p>
        </w:tc>
        <w:tc>
          <w:tcPr>
            <w:tcW w:w="16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487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1159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602</w:t>
            </w:r>
          </w:p>
        </w:tc>
        <w:tc>
          <w:tcPr>
            <w:tcW w:w="1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jc w:val="center"/>
              <w:rPr/>
            </w:pPr>
            <w:r>
              <w:rPr/>
              <w:t>11</w:t>
            </w:r>
          </w:p>
        </w:tc>
      </w:tr>
    </w:tbl>
    <w:p>
      <w:pPr>
        <w:pStyle w:val="NormalWeb"/>
        <w:spacing w:before="0" w:after="0"/>
        <w:ind w:left="709" w:hanging="425"/>
        <w:rPr/>
      </w:pPr>
      <w:r>
        <w:rPr/>
      </w:r>
    </w:p>
    <w:p>
      <w:pPr>
        <w:pStyle w:val="NormalWeb"/>
        <w:spacing w:before="0" w:after="0"/>
        <w:ind w:left="709" w:hanging="425"/>
        <w:jc w:val="center"/>
        <w:rPr/>
      </w:pPr>
      <w:r>
        <w:rPr>
          <w:b/>
        </w:rPr>
        <w:t>Tabela 8. Parametry oczyszczanych ścieków</w:t>
      </w:r>
    </w:p>
    <w:p>
      <w:pPr>
        <w:pStyle w:val="NormalWeb"/>
        <w:spacing w:before="0" w:after="0"/>
        <w:ind w:left="709" w:hanging="425"/>
        <w:rPr>
          <w:b/>
          <w:b/>
        </w:rPr>
      </w:pPr>
      <w:r>
        <w:rPr>
          <w:b/>
        </w:rPr>
      </w:r>
    </w:p>
    <w:tbl>
      <w:tblPr>
        <w:tblW w:w="913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36"/>
        <w:gridCol w:w="1189"/>
        <w:gridCol w:w="1190"/>
        <w:gridCol w:w="1190"/>
        <w:gridCol w:w="1189"/>
        <w:gridCol w:w="1190"/>
        <w:gridCol w:w="1348"/>
      </w:tblGrid>
      <w:tr>
        <w:trPr>
          <w:trHeight w:val="554" w:hRule="atLeast"/>
        </w:trPr>
        <w:tc>
          <w:tcPr>
            <w:tcW w:w="183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Parametr</w:t>
            </w:r>
          </w:p>
        </w:tc>
        <w:tc>
          <w:tcPr>
            <w:tcW w:w="729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Rok</w:t>
            </w:r>
          </w:p>
        </w:tc>
      </w:tr>
      <w:tr>
        <w:trPr>
          <w:trHeight w:val="167" w:hRule="atLeast"/>
        </w:trPr>
        <w:tc>
          <w:tcPr>
            <w:tcW w:w="18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5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2018</w:t>
            </w:r>
          </w:p>
        </w:tc>
        <w:tc>
          <w:tcPr>
            <w:tcW w:w="37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2019</w:t>
            </w:r>
          </w:p>
        </w:tc>
      </w:tr>
      <w:tr>
        <w:trPr>
          <w:trHeight w:val="167" w:hRule="atLeast"/>
        </w:trPr>
        <w:tc>
          <w:tcPr>
            <w:tcW w:w="18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Dopływ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Odpływ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% redukcji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Dopływ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Odpływ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rStyle w:val="Wyrnienie"/>
                <w:sz w:val="24"/>
                <w:szCs w:val="24"/>
              </w:rPr>
              <w:t>% redukcji</w:t>
            </w:r>
          </w:p>
        </w:tc>
      </w:tr>
      <w:tr>
        <w:trPr>
          <w:trHeight w:val="554" w:hRule="atLeast"/>
        </w:trPr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b/>
                <w:color w:val="000000"/>
                <w:sz w:val="24"/>
                <w:szCs w:val="24"/>
              </w:rPr>
              <w:t>BZT5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245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6,42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97,38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487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96,82</w:t>
            </w:r>
          </w:p>
        </w:tc>
      </w:tr>
      <w:tr>
        <w:trPr>
          <w:trHeight w:val="554" w:hRule="atLeast"/>
        </w:trPr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b/>
                <w:color w:val="000000"/>
                <w:sz w:val="24"/>
                <w:szCs w:val="24"/>
              </w:rPr>
              <w:t>CHZT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741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118,75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83,97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1159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64,08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94,47</w:t>
            </w:r>
          </w:p>
        </w:tc>
      </w:tr>
      <w:tr>
        <w:trPr>
          <w:trHeight w:val="536" w:hRule="atLeast"/>
        </w:trPr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b/>
                <w:color w:val="000000"/>
                <w:sz w:val="24"/>
                <w:szCs w:val="24"/>
              </w:rPr>
              <w:t>Zawiesina ogólna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308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95,94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602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10,23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98,30</w:t>
            </w:r>
          </w:p>
        </w:tc>
      </w:tr>
      <w:tr>
        <w:trPr>
          <w:trHeight w:val="554" w:hRule="atLeast"/>
        </w:trPr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b/>
                <w:color w:val="000000"/>
                <w:sz w:val="24"/>
                <w:szCs w:val="24"/>
              </w:rPr>
              <w:t>Azot ogólny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90,43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>
        <w:trPr>
          <w:trHeight w:val="572" w:hRule="atLeast"/>
        </w:trPr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b/>
                <w:color w:val="000000"/>
                <w:sz w:val="24"/>
                <w:szCs w:val="24"/>
              </w:rPr>
              <w:t>Fosfor ogólny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88,89</w:t>
            </w:r>
          </w:p>
        </w:tc>
        <w:tc>
          <w:tcPr>
            <w:tcW w:w="1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ListParagraph"/>
              <w:spacing w:before="0" w:after="0"/>
              <w:ind w:left="0" w:hanging="0"/>
              <w:contextualSpacing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>
      <w:pPr>
        <w:pStyle w:val="NormalWeb"/>
        <w:spacing w:before="0" w:after="0"/>
        <w:ind w:left="709" w:hanging="425"/>
        <w:jc w:val="center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Web"/>
        <w:spacing w:before="0" w:after="0"/>
        <w:rPr>
          <w:color w:val="auto"/>
        </w:rPr>
      </w:pPr>
      <w:r>
        <w:rPr>
          <w:color w:val="auto"/>
        </w:rPr>
        <w:t>Maksymalne stężenia zanieczyszczeń w oczyszczonych ściekach odprowadzanych z oczyszczalni będą zgodne z wymogami rozporządzenia Ministra Gospodarki Morskiej I Żeglugi Śródlądowej z dnia 12 lipca 2019 r. w sprawie substancji szczególnie szkodliwych dla środowiska wodnego oraz warunków jakie należy spełnić przy wprowadzaniu do wód lub ziemi ścieków, a także przy odprowadzaniu wód opadowych lub roztopowych wód lub urządzeń wodnych (Dz. U. 2019.1311 z dnia 2019.07.15) i nieb będą przekraczać wartości ujętych w pozwoleniu wodnoprawnym:</w:t>
      </w:r>
    </w:p>
    <w:p>
      <w:pPr>
        <w:pStyle w:val="NormalWeb"/>
        <w:spacing w:before="0" w:after="0"/>
        <w:rPr>
          <w:b/>
          <w:b/>
          <w:color w:val="FF0000"/>
        </w:rPr>
      </w:pPr>
      <w:r>
        <w:rPr>
          <w:b/>
          <w:color w:val="FF0000"/>
        </w:rPr>
      </w:r>
    </w:p>
    <w:p>
      <w:pPr>
        <w:pStyle w:val="Normal"/>
        <w:widowControl w:val="false"/>
        <w:numPr>
          <w:ilvl w:val="0"/>
          <w:numId w:val="17"/>
        </w:numPr>
        <w:shd w:val="clear" w:color="auto" w:fill="FFFFFF"/>
        <w:overflowPunct w:val="false"/>
        <w:spacing w:lineRule="auto" w:line="360" w:before="0" w:after="0"/>
        <w:rPr>
          <w:sz w:val="24"/>
          <w:szCs w:val="24"/>
        </w:rPr>
      </w:pPr>
      <w:r>
        <w:rPr>
          <w:sz w:val="24"/>
          <w:szCs w:val="24"/>
        </w:rPr>
        <w:t>BZT5  - 25 mg O2/dm</w:t>
      </w:r>
      <w:r>
        <w:rPr>
          <w:sz w:val="24"/>
          <w:szCs w:val="24"/>
          <w:vertAlign w:val="superscript"/>
        </w:rPr>
        <w:t>3</w:t>
      </w:r>
    </w:p>
    <w:p>
      <w:pPr>
        <w:pStyle w:val="Normal"/>
        <w:widowControl w:val="false"/>
        <w:numPr>
          <w:ilvl w:val="0"/>
          <w:numId w:val="17"/>
        </w:numPr>
        <w:shd w:val="clear" w:color="auto" w:fill="FFFFFF"/>
        <w:overflowPunct w:val="false"/>
        <w:spacing w:lineRule="auto" w:line="360" w:before="0" w:after="0"/>
        <w:rPr>
          <w:sz w:val="24"/>
          <w:szCs w:val="24"/>
        </w:rPr>
      </w:pPr>
      <w:r>
        <w:rPr>
          <w:sz w:val="24"/>
          <w:szCs w:val="24"/>
          <w:lang w:val="de-DE"/>
        </w:rPr>
        <w:t>ChZT</w:t>
      </w:r>
      <w:r>
        <w:rPr>
          <w:sz w:val="24"/>
          <w:szCs w:val="24"/>
        </w:rPr>
        <w:t>Cr – 125 mg 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/dm</w:t>
      </w:r>
      <w:r>
        <w:rPr>
          <w:sz w:val="24"/>
          <w:szCs w:val="24"/>
          <w:vertAlign w:val="superscript"/>
        </w:rPr>
        <w:t>3</w:t>
      </w:r>
    </w:p>
    <w:p>
      <w:pPr>
        <w:pStyle w:val="Normal"/>
        <w:widowControl w:val="false"/>
        <w:numPr>
          <w:ilvl w:val="0"/>
          <w:numId w:val="17"/>
        </w:numPr>
        <w:shd w:val="clear" w:color="auto" w:fill="FFFFFF"/>
        <w:overflowPunct w:val="false"/>
        <w:spacing w:lineRule="auto" w:line="360" w:before="0" w:after="0"/>
        <w:rPr>
          <w:sz w:val="24"/>
          <w:szCs w:val="24"/>
        </w:rPr>
      </w:pPr>
      <w:r>
        <w:rPr>
          <w:sz w:val="24"/>
          <w:szCs w:val="24"/>
        </w:rPr>
        <w:t>Zawiesina ogólna – 35 mg 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/dm</w:t>
      </w:r>
      <w:r>
        <w:rPr>
          <w:sz w:val="24"/>
          <w:szCs w:val="24"/>
          <w:vertAlign w:val="superscript"/>
        </w:rPr>
        <w:t>3</w:t>
      </w:r>
    </w:p>
    <w:p>
      <w:pPr>
        <w:pStyle w:val="Normal"/>
        <w:widowControl w:val="false"/>
        <w:numPr>
          <w:ilvl w:val="0"/>
          <w:numId w:val="17"/>
        </w:numPr>
        <w:shd w:val="clear" w:color="auto" w:fill="FFFFFF"/>
        <w:overflowPunct w:val="false"/>
        <w:spacing w:lineRule="auto" w:line="360" w:before="0" w:after="0"/>
        <w:rPr>
          <w:sz w:val="24"/>
          <w:szCs w:val="24"/>
        </w:rPr>
      </w:pPr>
      <w:r>
        <w:rPr>
          <w:sz w:val="24"/>
          <w:szCs w:val="24"/>
        </w:rPr>
        <w:t>Azot ogólny – 15 mg N/dm</w:t>
      </w:r>
      <w:r>
        <w:rPr>
          <w:sz w:val="24"/>
          <w:szCs w:val="24"/>
          <w:vertAlign w:val="superscript"/>
        </w:rPr>
        <w:t>3</w:t>
      </w:r>
    </w:p>
    <w:p>
      <w:pPr>
        <w:pStyle w:val="Normal"/>
        <w:widowControl w:val="false"/>
        <w:numPr>
          <w:ilvl w:val="0"/>
          <w:numId w:val="17"/>
        </w:numPr>
        <w:shd w:val="clear" w:color="auto" w:fill="FFFFFF"/>
        <w:overflowPunct w:val="false"/>
        <w:spacing w:lineRule="auto" w:line="360" w:before="0" w:after="0"/>
        <w:rPr>
          <w:sz w:val="24"/>
          <w:szCs w:val="24"/>
        </w:rPr>
      </w:pPr>
      <w:r>
        <w:rPr>
          <w:sz w:val="24"/>
          <w:szCs w:val="24"/>
        </w:rPr>
        <w:t>Fosfor ogólny – 2 mg P/dm</w:t>
      </w:r>
      <w:r>
        <w:rPr>
          <w:sz w:val="24"/>
          <w:szCs w:val="24"/>
          <w:vertAlign w:val="superscript"/>
        </w:rPr>
        <w:t>3</w:t>
      </w:r>
    </w:p>
    <w:p>
      <w:pPr>
        <w:pStyle w:val="Normal"/>
        <w:shd w:val="clear" w:color="auto" w:fill="FFFFFF"/>
        <w:spacing w:before="0" w:after="0"/>
        <w:rPr/>
      </w:pPr>
      <w:r>
        <w:rPr>
          <w:b/>
          <w:sz w:val="24"/>
          <w:szCs w:val="24"/>
        </w:rPr>
        <w:t>Tabela 9. Ilość odwodnionych osadów ściekowych powstających na oczyszczalni ścieków:</w:t>
      </w:r>
    </w:p>
    <w:p>
      <w:pPr>
        <w:pStyle w:val="Normal"/>
        <w:shd w:val="clear" w:color="auto" w:fill="FFFFFF"/>
        <w:spacing w:before="0" w:after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395" w:type="dxa"/>
        <w:jc w:val="left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54"/>
        <w:gridCol w:w="1947"/>
        <w:gridCol w:w="2126"/>
        <w:gridCol w:w="4467"/>
      </w:tblGrid>
      <w:tr>
        <w:trPr>
          <w:trHeight w:val="567" w:hRule="atLeast"/>
        </w:trPr>
        <w:tc>
          <w:tcPr>
            <w:tcW w:w="8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1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Masa wytworzonych komunalnych osadów ściekowych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Masa zastosowanych komunalnych osadów ściekowych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0CECE" w:themeFill="background2" w:themeFillShade="e6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Cel zastosowania komunalnych osadów ściekowych</w:t>
            </w:r>
          </w:p>
        </w:tc>
      </w:tr>
      <w:tr>
        <w:trPr>
          <w:trHeight w:val="567" w:hRule="atLeast"/>
        </w:trPr>
        <w:tc>
          <w:tcPr>
            <w:tcW w:w="85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</w:r>
          </w:p>
        </w:tc>
        <w:tc>
          <w:tcPr>
            <w:tcW w:w="1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[Mg s. m.]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[Mg s. m.]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114" w:hanging="0"/>
              <w:jc w:val="center"/>
              <w:rPr/>
            </w:pPr>
            <w:r>
              <w:rPr>
                <w:sz w:val="24"/>
                <w:szCs w:val="24"/>
              </w:rPr>
              <w:t>Zgodnie z art. 96 ust. 1 pkt 3 ustawy z dnia 14 grudnia 20212 r. o odpadach</w:t>
            </w:r>
          </w:p>
        </w:tc>
      </w:tr>
      <w:tr>
        <w:trPr>
          <w:trHeight w:val="567" w:hRule="atLeast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145,1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170,73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256" w:hanging="0"/>
              <w:jc w:val="center"/>
              <w:rPr/>
            </w:pPr>
            <w:r>
              <w:rPr>
                <w:sz w:val="24"/>
                <w:szCs w:val="24"/>
              </w:rPr>
              <w:t>Do uprawy roślin nieprzeznaczonych do bezpośredniego spożycia i produkcji pasz</w:t>
            </w:r>
          </w:p>
        </w:tc>
      </w:tr>
      <w:tr>
        <w:trPr>
          <w:trHeight w:val="567" w:hRule="atLeast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1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136,03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-256" w:hanging="0"/>
              <w:jc w:val="center"/>
              <w:rPr/>
            </w:pPr>
            <w:r>
              <w:rPr>
                <w:sz w:val="24"/>
                <w:szCs w:val="24"/>
              </w:rPr>
              <w:t>Do uprawy roślin nieprzeznaczonych do bezpośredniego spożycia i produkcji pasz</w:t>
            </w:r>
          </w:p>
        </w:tc>
      </w:tr>
    </w:tbl>
    <w:p>
      <w:pPr>
        <w:pStyle w:val="Normal"/>
        <w:shd w:val="clear" w:color="auto" w:fill="FFFFFF"/>
        <w:spacing w:before="0" w:after="0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851" w:hanging="425"/>
        <w:rPr/>
      </w:pPr>
      <w:r>
        <w:rPr>
          <w:b/>
          <w:sz w:val="24"/>
          <w:szCs w:val="24"/>
        </w:rPr>
        <w:t>Informacje dotyczące indywidualnych systemów oczyszczania ścieków obsługujących mieszkańców aglomeracji</w:t>
      </w:r>
    </w:p>
    <w:p>
      <w:pPr>
        <w:pStyle w:val="Normal"/>
        <w:shd w:val="clear" w:color="auto" w:fill="FFFFFF"/>
        <w:spacing w:before="0" w:after="0"/>
        <w:ind w:left="1146" w:hanging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Na terenie aglomeracji nie funkcjonuje żadna przydomowa oczyszczalnia ścieków, zostały one wyłączone z obszaru aglomeracji.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Ścieki od pozostałych mieszkańców gminy nie podłączonych do kanalizacji sanitarnej są gromadzone w bezodpływowych zbiornikach (25 szt.) skąd są wywożone wozami asenizacyjnymi na oczyszczalnię ścieków w Mroczy. Korzysta z nich 100 mieszkańców. </w:t>
      </w:r>
    </w:p>
    <w:p>
      <w:pPr>
        <w:pStyle w:val="Normal"/>
        <w:shd w:val="clear" w:color="auto" w:fill="FFFFFF"/>
        <w:ind w:firstLine="567"/>
        <w:jc w:val="center"/>
        <w:rPr/>
      </w:pPr>
      <w:r>
        <w:rPr>
          <w:b/>
          <w:sz w:val="24"/>
          <w:szCs w:val="24"/>
        </w:rPr>
        <w:t>Tabela 10. Indywidualne systemy oczyszczania ścieków mieszkańców aglomeracji</w:t>
      </w:r>
    </w:p>
    <w:tbl>
      <w:tblPr>
        <w:tblW w:w="5951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7"/>
        <w:gridCol w:w="1493"/>
        <w:gridCol w:w="1949"/>
        <w:gridCol w:w="1951"/>
      </w:tblGrid>
      <w:tr>
        <w:trPr/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rStyle w:val="WWWyrnienie"/>
                <w:sz w:val="24"/>
              </w:rPr>
              <w:t>Lp.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rStyle w:val="WWWyrnienie"/>
                <w:sz w:val="24"/>
              </w:rPr>
              <w:t>Miejscowość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rStyle w:val="WWWyrnienie"/>
                <w:sz w:val="24"/>
              </w:rPr>
              <w:t>Liczba zbiorników bezodpływowych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/>
            </w:pPr>
            <w:r>
              <w:rPr>
                <w:rStyle w:val="WWWyrnienie"/>
                <w:sz w:val="24"/>
              </w:rPr>
              <w:t>Liczba osób korzystająca z zbiorników bezodpływowych</w:t>
            </w:r>
          </w:p>
        </w:tc>
      </w:tr>
      <w:tr>
        <w:trPr/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>
                <w:rStyle w:val="WWWyrnienie"/>
                <w:b w:val="false"/>
                <w:sz w:val="24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Białowieża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</w:tr>
      <w:tr>
        <w:trPr/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>
                <w:rStyle w:val="WWWyrnienie"/>
                <w:b w:val="false"/>
                <w:sz w:val="24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Chwałka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>
                <w:rStyle w:val="WWWyrnienie"/>
                <w:b w:val="false"/>
                <w:sz w:val="24"/>
              </w:rPr>
              <w:t>3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Ostrowo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70" w:hRule="atLeast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>
                <w:rStyle w:val="WWWyrnienie"/>
                <w:b w:val="false"/>
                <w:sz w:val="24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68</w:t>
            </w:r>
          </w:p>
        </w:tc>
      </w:tr>
      <w:tr>
        <w:trPr>
          <w:trHeight w:val="70" w:hRule="atLeast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/>
              <w:t>5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Wiele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>
          <w:trHeight w:val="70" w:hRule="atLeast"/>
        </w:trPr>
        <w:tc>
          <w:tcPr>
            <w:tcW w:w="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/>
              <w:t>6</w:t>
            </w:r>
          </w:p>
        </w:tc>
        <w:tc>
          <w:tcPr>
            <w:tcW w:w="1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Witosław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70" w:hRule="atLeast"/>
        </w:trPr>
        <w:tc>
          <w:tcPr>
            <w:tcW w:w="205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Default"/>
              <w:spacing w:before="0" w:after="200"/>
              <w:contextualSpacing/>
              <w:jc w:val="center"/>
              <w:rPr/>
            </w:pPr>
            <w:r>
              <w:rPr/>
              <w:t>RAZEM</w:t>
            </w:r>
          </w:p>
        </w:tc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/>
            </w:pPr>
            <w:r>
              <w:rPr>
                <w:sz w:val="24"/>
                <w:szCs w:val="24"/>
              </w:rPr>
              <w:t>100</w:t>
            </w:r>
          </w:p>
        </w:tc>
      </w:tr>
    </w:tbl>
    <w:p>
      <w:pPr>
        <w:pStyle w:val="Normal"/>
        <w:shd w:val="clear" w:color="auto" w:fill="FFFFFF"/>
        <w:spacing w:before="0" w:after="0"/>
        <w:ind w:left="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851" w:hanging="425"/>
        <w:rPr/>
      </w:pPr>
      <w:r>
        <w:rPr>
          <w:rStyle w:val="Wyrnienie"/>
          <w:sz w:val="24"/>
          <w:szCs w:val="24"/>
        </w:rPr>
        <w:t>Informacje dotyczące końcowego punktu zrzutu (w przypadku braku oczyszczalni ścieków na terenie aglomeracji)</w:t>
      </w:r>
    </w:p>
    <w:p>
      <w:pPr>
        <w:pStyle w:val="Normal"/>
        <w:rPr/>
      </w:pPr>
      <w:r>
        <w:rPr>
          <w:sz w:val="24"/>
          <w:szCs w:val="24"/>
        </w:rPr>
        <w:t>Nie dotyczy.</w:t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851" w:hanging="425"/>
        <w:rPr/>
      </w:pPr>
      <w:r>
        <w:rPr>
          <w:rStyle w:val="Wyrnienie"/>
          <w:sz w:val="24"/>
          <w:szCs w:val="24"/>
        </w:rPr>
        <w:t xml:space="preserve">Informacje o ilości i składzie jakościowym ścieków przemysłowych odprowadzanych        przez zakłady do systemu kanalizacji zbiorczej. </w:t>
      </w:r>
    </w:p>
    <w:p>
      <w:pPr>
        <w:pStyle w:val="Normal"/>
        <w:shd w:val="clear" w:color="auto" w:fill="FFFFF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Tabela 11. Wykaz zakładów przemysłowych podłączonych do systemu kanalizacji zbiorczej</w:t>
      </w:r>
    </w:p>
    <w:tbl>
      <w:tblPr>
        <w:tblW w:w="906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9"/>
        <w:gridCol w:w="2877"/>
        <w:gridCol w:w="2688"/>
        <w:gridCol w:w="1465"/>
        <w:gridCol w:w="1463"/>
      </w:tblGrid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Lp.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Nazwa zakładu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Miejscowość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Ilość ścieków</w:t>
            </w:r>
          </w:p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[m3/dobę]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vAlign w:val="center"/>
          </w:tcPr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BZT5</w:t>
            </w:r>
          </w:p>
          <w:p>
            <w:pPr>
              <w:pStyle w:val="Default"/>
              <w:jc w:val="center"/>
              <w:rPr>
                <w:rStyle w:val="Wyrnienie"/>
                <w:sz w:val="24"/>
              </w:rPr>
            </w:pPr>
            <w:r>
              <w:rPr>
                <w:rStyle w:val="Wyrnienie"/>
                <w:sz w:val="24"/>
              </w:rPr>
              <w:t>[kg/d]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Darmark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0,144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0,070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Darmark Nawozy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0,706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0,344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Dramark Pasz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1,064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0,518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PKN Orlen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0,103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0,050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Krąg Bet Mrocza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0,247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0,120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MB Mrocza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2,928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1,426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  <w:lang w:eastAsia="pl-PL"/>
              </w:rPr>
            </w:pPr>
            <w:r>
              <w:rPr>
                <w:color w:val="000000"/>
                <w:sz w:val="24"/>
                <w:szCs w:val="24"/>
              </w:rPr>
              <w:t>Market Biedronka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0,517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0,252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Market Polo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0,575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0,280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Market Dino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0,336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0,164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Market Skama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0,264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0,129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Myjnia bezdotykowa 24/7 Mrocza ul. Nakielska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8,383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4,083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Firma JaWal &amp; M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0,392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0,191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Duda Materiały Budowlane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Mrocza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0,392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0,191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RSP Wiele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Wiele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0,558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0,272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Farm-Wet Witosław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Witosław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0,372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0,181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Gospod. Rolno-Ogrodn.Szkółkarskie Łątka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Witosław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0,308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0,150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Kosplast Kosowo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Kosowo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0,647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0,315</w:t>
            </w:r>
          </w:p>
        </w:tc>
      </w:tr>
      <w:tr>
        <w:trPr/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Planasa Ostrowo</w:t>
            </w:r>
          </w:p>
        </w:tc>
        <w:tc>
          <w:tcPr>
            <w:tcW w:w="2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Ostrowo</w:t>
            </w:r>
          </w:p>
        </w:tc>
        <w:tc>
          <w:tcPr>
            <w:tcW w:w="1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8,717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4,245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709" w:hanging="436"/>
        <w:rPr/>
      </w:pPr>
      <w:r>
        <w:rPr>
          <w:rStyle w:val="Wyrnienie"/>
          <w:sz w:val="24"/>
          <w:szCs w:val="24"/>
        </w:rPr>
        <w:t xml:space="preserve">Informacje o zakładach, których podłączenie do systemu kanalizacji zbiorczej jest planowane. </w:t>
      </w:r>
    </w:p>
    <w:p>
      <w:pPr>
        <w:pStyle w:val="Normal"/>
        <w:spacing w:before="240" w:after="200"/>
        <w:rPr>
          <w:rStyle w:val="Wyrnienie"/>
          <w:b w:val="false"/>
          <w:b w:val="false"/>
          <w:bCs/>
          <w:sz w:val="24"/>
          <w:szCs w:val="24"/>
        </w:rPr>
      </w:pPr>
      <w:r>
        <w:rPr>
          <w:rStyle w:val="Wyrnienie"/>
          <w:b w:val="false"/>
          <w:bCs/>
          <w:sz w:val="24"/>
          <w:szCs w:val="24"/>
        </w:rPr>
        <w:t>W nadchodzących latach na terenie aglomeracji nie planuje się podłączenia żadnych zakładów do systemu kanalizacji zbiorczej.</w:t>
      </w:r>
    </w:p>
    <w:p>
      <w:pPr>
        <w:pStyle w:val="Normal"/>
        <w:numPr>
          <w:ilvl w:val="1"/>
          <w:numId w:val="4"/>
        </w:numPr>
        <w:shd w:val="clear" w:color="auto" w:fill="FFFFFF"/>
        <w:spacing w:before="0" w:after="0"/>
        <w:ind w:left="851" w:hanging="425"/>
        <w:rPr/>
      </w:pPr>
      <w:r>
        <w:rPr>
          <w:rStyle w:val="Wyrnienie"/>
          <w:sz w:val="24"/>
          <w:szCs w:val="24"/>
        </w:rPr>
        <w:t xml:space="preserve">Uzasadnienie określonej dla aglomeracji równoważnej liczby mieszkańców. </w:t>
      </w:r>
    </w:p>
    <w:p>
      <w:pPr>
        <w:pStyle w:val="NormalWeb"/>
        <w:spacing w:before="0" w:after="0"/>
        <w:rPr/>
      </w:pPr>
      <w:r>
        <w:rPr/>
      </w:r>
    </w:p>
    <w:tbl>
      <w:tblPr>
        <w:tblW w:w="9384" w:type="dxa"/>
        <w:jc w:val="left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159"/>
        <w:gridCol w:w="2224"/>
      </w:tblGrid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sz w:val="24"/>
                <w:szCs w:val="24"/>
              </w:rPr>
              <w:t>Wyszczególnienie: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sz w:val="24"/>
                <w:szCs w:val="24"/>
              </w:rPr>
              <w:t>RLM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mieszkańców korzystających z istniejącej sieci kanalizacyjnej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6838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mieszkańców, planowanych do przyłączenia do sieci kanalizacyjnej, na której wykonanie środki finansowe zostały pozyskane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262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mieszkańców planowanych do podłączenia do projektowanej sieci kanalizacyjnej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360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osób czasowo przebywających korzystających z sieci kanalizacyjnej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85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osób czasowo przebywających, planowanych do przyłączenia do sieci kanalizacyjnej, na której wykonanie środki finansowe zostały pozyskane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840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Style w:val="CharStyle26"/>
                <w:bCs/>
                <w:iCs/>
                <w:color w:val="000000"/>
                <w:sz w:val="24"/>
                <w:szCs w:val="24"/>
              </w:rPr>
              <w:t>Ilość mieszkańców planowanych do podłączenia</w:t>
            </w:r>
            <w:r>
              <w:rPr>
                <w:rStyle w:val="Zakotwiczenieprzypisudolnego"/>
                <w:rStyle w:val="Zakotwiczenieprzypisudolnego"/>
                <w:bCs/>
                <w:iCs/>
                <w:color w:val="000000"/>
                <w:sz w:val="24"/>
                <w:szCs w:val="24"/>
              </w:rPr>
              <w:footnoteReference w:id="4"/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sz w:val="24"/>
                <w:szCs w:val="24"/>
              </w:rPr>
              <w:t>110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Równoważna Liczba Mieszkańców wynikająca z dobowego ładunku ścieków odprowadzanych przez zakłady przemysłowe i usługowe korzystające z istniejącej sieci kanalizacyjnej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216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Równoważna Liczba Mieszkańców wynikająca z dobowego ładunku ścieków, który będzie odprowadzanych przez zakłady przemysłowe i usługowe planowane do podłączenia do sieci kanalizacyjnej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>
        <w:trPr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sz w:val="24"/>
                <w:szCs w:val="24"/>
              </w:rPr>
              <w:t>Liczba mieszkańców, korzystających z indywidualnych systemów oczyszczania ścieków komunalnych (przydomowe oczyszczalnie ścieków, zbiorniki bezodpływowe), określona na podstawie rejestrów prowadzonych przez gminę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D9D9D9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>
        <w:trPr>
          <w:trHeight w:val="755" w:hRule="atLeast"/>
          <w:cantSplit w:val="true"/>
        </w:trPr>
        <w:tc>
          <w:tcPr>
            <w:tcW w:w="7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b/>
                <w:sz w:val="24"/>
                <w:szCs w:val="24"/>
              </w:rPr>
              <w:t>Równoważna Liczba Mieszkańców RLM (suma)</w:t>
            </w:r>
          </w:p>
        </w:tc>
        <w:tc>
          <w:tcPr>
            <w:tcW w:w="2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C6D9F1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8811</w:t>
            </w:r>
          </w:p>
        </w:tc>
      </w:tr>
    </w:tbl>
    <w:p>
      <w:pPr>
        <w:pStyle w:val="NormalWeb"/>
        <w:spacing w:before="0" w:after="0"/>
        <w:ind w:left="709" w:hanging="425"/>
        <w:rPr/>
      </w:pPr>
      <w:r>
        <w:rPr/>
      </w:r>
    </w:p>
    <w:p>
      <w:pPr>
        <w:pStyle w:val="NormalWeb"/>
        <w:spacing w:before="0" w:after="0"/>
        <w:ind w:left="709" w:hanging="425"/>
        <w:rPr/>
      </w:pPr>
      <w:r>
        <w:rPr/>
      </w:r>
    </w:p>
    <w:p>
      <w:pPr>
        <w:pStyle w:val="NormalWeb"/>
        <w:spacing w:before="0" w:after="0"/>
        <w:ind w:left="709" w:hanging="425"/>
        <w:rPr/>
      </w:pPr>
      <w:r>
        <w:rPr/>
      </w:r>
    </w:p>
    <w:p>
      <w:pPr>
        <w:pStyle w:val="NormalWeb"/>
        <w:numPr>
          <w:ilvl w:val="0"/>
          <w:numId w:val="4"/>
        </w:numPr>
        <w:spacing w:before="0" w:after="0"/>
        <w:ind w:left="426" w:hanging="426"/>
        <w:rPr/>
      </w:pPr>
      <w:r>
        <w:rPr>
          <w:rStyle w:val="Wyrnienie"/>
          <w:sz w:val="24"/>
        </w:rPr>
        <w:t xml:space="preserve">Planowany poziom obsługi zbiorczym systemem kanalizacji w aglomeracji </w:t>
      </w:r>
    </w:p>
    <w:p>
      <w:pPr>
        <w:pStyle w:val="ListParagraph"/>
        <w:ind w:left="426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>%RLM = (RLMrz : RLMa) * 100 (%)</w:t>
      </w:r>
    </w:p>
    <w:p>
      <w:pPr>
        <w:pStyle w:val="Normal"/>
        <w:rPr/>
      </w:pPr>
      <w:r>
        <w:rPr>
          <w:sz w:val="24"/>
          <w:szCs w:val="24"/>
        </w:rPr>
        <w:t>gdzie:</w:t>
      </w:r>
    </w:p>
    <w:p>
      <w:pPr>
        <w:pStyle w:val="Normal"/>
        <w:rPr/>
      </w:pPr>
      <w:r>
        <w:rPr>
          <w:bCs/>
          <w:color w:val="000000"/>
          <w:sz w:val="24"/>
          <w:szCs w:val="24"/>
        </w:rPr>
        <w:t>RLMrz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rzeczywista równoważna liczba mieszkańców obliczona na podstawie sumy wartości RLM pochodzącej z liczby mieszkańców aglomeracji, liczby mieszkańców planowanych do podłączenia, liczby osób czasowo przebywających na terenie aglomeracji, liczby mieszkańców mających możliwość podłączenia do istniejącej sieci oraz wartości RLM pochodzącej z przemysłu występującego na obszarze aglomeracji.</w:t>
      </w:r>
    </w:p>
    <w:p>
      <w:pPr>
        <w:pStyle w:val="Normal"/>
        <w:rPr/>
      </w:pPr>
      <w:r>
        <w:rPr>
          <w:bCs/>
          <w:color w:val="000000"/>
          <w:sz w:val="24"/>
          <w:szCs w:val="24"/>
        </w:rPr>
        <w:t>RLMa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równoważna liczba mieszkańców wynikająca z przyszłej uchwały Sejmiku Województwa wyznaczającego granice i obszar danej aglomeracji.</w:t>
      </w:r>
    </w:p>
    <w:p>
      <w:pPr>
        <w:pStyle w:val="Normal"/>
        <w:rPr/>
      </w:pPr>
      <w:r>
        <w:rPr>
          <w:b/>
          <w:sz w:val="24"/>
          <w:szCs w:val="24"/>
        </w:rPr>
        <w:t>(6838 + 262 + 360 + 85 + 840 + 110 + 216) RLM :  8811 RLM * 100 = 98,87%</w:t>
      </w:r>
    </w:p>
    <w:p>
      <w:pPr>
        <w:pStyle w:val="Normal"/>
        <w:rPr/>
      </w:pPr>
      <w:bookmarkStart w:id="1" w:name="_Hlk51065589"/>
      <w:bookmarkEnd w:id="1"/>
      <w:r>
        <w:rPr>
          <w:sz w:val="24"/>
          <w:szCs w:val="24"/>
        </w:rPr>
        <w:t>Pozostali mieszkańcy aglomeracji, którzy nie będą obsługiwani przez system kanalizacji zbiorczej, będą sukcesywnie podłączani do systemu w miarę jego rozbudowy lub korzystać będą z indywidualnych systemów oczyszczania ścieków, przy czym stopień oczyszczania tych ścieków nie będzie niższy od stopnia oczyszczenia ścieków w systemie kanalizacji zbiorczej. Ponadto Gmina podejmie skuteczne działania w celu podłączenia wszystkich posesji niepodłączonych do kanalizacji zbiorczej na terenach już wyposażonych w sieć kanalizacyjną.</w:t>
      </w:r>
    </w:p>
    <w:p>
      <w:pPr>
        <w:pStyle w:val="NormalWeb"/>
        <w:spacing w:before="0" w:after="0"/>
        <w:rPr>
          <w:b/>
          <w:b/>
        </w:rPr>
      </w:pPr>
      <w:r>
        <w:rPr>
          <w:b/>
        </w:rPr>
      </w:r>
    </w:p>
    <w:p>
      <w:pPr>
        <w:pStyle w:val="NormalWeb"/>
        <w:numPr>
          <w:ilvl w:val="0"/>
          <w:numId w:val="4"/>
        </w:numPr>
        <w:spacing w:before="0" w:after="0"/>
        <w:ind w:left="426" w:hanging="426"/>
        <w:rPr/>
      </w:pPr>
      <w:r>
        <w:rPr>
          <w:rStyle w:val="Wyrnienie"/>
          <w:sz w:val="24"/>
        </w:rPr>
        <w:t>Informacje o strefach ochronnych ujęć wody, występujących na obszarze aglomeracji, obejmujących tereny ochrony bezpośredniej i tereny ochrony pośredniej zawierające oznaczenie aktu prawa miejscowego lub decyzje ustanawiające te strefy oraz zakazy, nakazy i ograniczenia obowiązujące na tych terenach.</w:t>
      </w:r>
    </w:p>
    <w:p>
      <w:pPr>
        <w:pStyle w:val="Normal"/>
        <w:spacing w:before="240" w:after="200"/>
        <w:rPr/>
      </w:pPr>
      <w:r>
        <w:rPr>
          <w:sz w:val="24"/>
          <w:szCs w:val="24"/>
        </w:rPr>
        <w:t xml:space="preserve">Na terenie aglomeracji Mrocza zlokalizowane są ujęcia wody: </w:t>
      </w:r>
    </w:p>
    <w:p>
      <w:pPr>
        <w:pStyle w:val="Normal"/>
        <w:numPr>
          <w:ilvl w:val="0"/>
          <w:numId w:val="11"/>
        </w:numPr>
        <w:spacing w:before="240" w:after="200"/>
        <w:rPr/>
      </w:pPr>
      <w:r>
        <w:rPr>
          <w:sz w:val="24"/>
          <w:szCs w:val="24"/>
        </w:rPr>
        <w:t>Mrocza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 xml:space="preserve">Studnia nr 1A zlokalizowana na działce 433/11, obręb Mrocza, gmina Mrocza. Ujęcie posiada ustanowioną strefę ochrony bezpośredniej w granicach istniejącego ogrodzenia SUW. 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 xml:space="preserve">Studnia nr 5Q zlokalizowana na działce 433/11, obręb Mrocza, gmina Mrocza. Ujęcie posiada ustanowioną strefę ochrony bezpośredniej w granicach istniejącego ogrodzenia SUW. 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 xml:space="preserve">Studnia 4 zlokalizowana na działce 433/11, obręb Mrocza, gmina Mrocza. Ujęcie posiada ustanowioną strefę ochrony bezpośredniej w granicach istniejącego ogrodzenia SUW. 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 xml:space="preserve">Studnia 3A zlokalizowana na działce 432/7, obręb Mrocza, gmina Mrocza. Ujęcie posiada ustanowioną strefę ochrony bezpośredniej w granicach istniejącego ogrodzenia SUW. </w:t>
      </w:r>
    </w:p>
    <w:p>
      <w:pPr>
        <w:pStyle w:val="Normal"/>
        <w:spacing w:before="240" w:after="200"/>
        <w:rPr/>
      </w:pPr>
      <w:r>
        <w:rPr>
          <w:sz w:val="24"/>
          <w:szCs w:val="24"/>
        </w:rPr>
        <w:t>Decyzja ustanawiająca strefę ochrony bezpośredniej: Decyzja Dyrektora Zarządu Zlewni w Inowrocławiu z dnia 24 czerwca 2020 r. o nr BD.ZUZ.1.4100.263.2018.PK</w:t>
      </w:r>
    </w:p>
    <w:p>
      <w:pPr>
        <w:pStyle w:val="Normal"/>
        <w:numPr>
          <w:ilvl w:val="0"/>
          <w:numId w:val="11"/>
        </w:numPr>
        <w:spacing w:before="240" w:after="200"/>
        <w:rPr/>
      </w:pPr>
      <w:r>
        <w:rPr>
          <w:sz w:val="24"/>
          <w:szCs w:val="24"/>
        </w:rPr>
        <w:t>Modrakowo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>Studnia nr 2W zlokalizowana na działce nr 15/2, obręb 0010 Modrakowo, gmina Mrocza. Ujęcie wody posiada ustanowioną strefę ochrony bezpośredniej w granicach istniejącego ogrodzenia SUW</w:t>
      </w:r>
    </w:p>
    <w:p>
      <w:pPr>
        <w:pStyle w:val="Normal"/>
        <w:numPr>
          <w:ilvl w:val="1"/>
          <w:numId w:val="10"/>
        </w:numPr>
        <w:spacing w:before="240" w:after="200"/>
        <w:rPr/>
      </w:pPr>
      <w:r>
        <w:rPr>
          <w:sz w:val="24"/>
          <w:szCs w:val="24"/>
        </w:rPr>
        <w:t>Studnia nr 3W zlokalizowana na działce nr 15/2, obręb 0010 Modrakowo, gmina Mrocza. Ujęcie wody posiada ustanowioną strefę ochrony bezpośredniej w granicach istniejącego ogrodzenia SUW</w:t>
      </w:r>
    </w:p>
    <w:p>
      <w:pPr>
        <w:pStyle w:val="Normal"/>
        <w:spacing w:before="240" w:after="200"/>
        <w:rPr>
          <w:sz w:val="24"/>
          <w:szCs w:val="24"/>
        </w:rPr>
      </w:pPr>
      <w:r>
        <w:rPr>
          <w:sz w:val="24"/>
          <w:szCs w:val="24"/>
        </w:rPr>
        <w:t>Decyzja ustanawiająca strefę ochrony bezpośredniej: Decyzja Dyrektora Zarządu Zlewni w Inowrocławiu z dnia 24 czerwca 2020 r. o nr BD.ZUZ.1.4100.263.3.2018.PK</w:t>
      </w:r>
    </w:p>
    <w:p>
      <w:pPr>
        <w:pStyle w:val="Normal"/>
        <w:numPr>
          <w:ilvl w:val="0"/>
          <w:numId w:val="11"/>
        </w:numPr>
        <w:spacing w:before="240" w:after="200"/>
        <w:rPr/>
      </w:pPr>
      <w:r>
        <w:rPr>
          <w:sz w:val="24"/>
          <w:szCs w:val="24"/>
        </w:rPr>
        <w:t>Wiele</w:t>
      </w:r>
    </w:p>
    <w:p>
      <w:pPr>
        <w:pStyle w:val="Normal"/>
        <w:numPr>
          <w:ilvl w:val="1"/>
          <w:numId w:val="12"/>
        </w:numPr>
        <w:spacing w:before="240" w:after="200"/>
        <w:rPr/>
      </w:pPr>
      <w:r>
        <w:rPr>
          <w:sz w:val="24"/>
          <w:szCs w:val="24"/>
        </w:rPr>
        <w:t xml:space="preserve">Studnia nr 1 zlokalizowana na działce nr 197/3, obręb 0016 Wiele, gmina Mrocza. Ujęcie wody posiada ustanowioną strefę ochrony bezpośredniej w granicach istniejącego ogrodzenia SUW. </w:t>
      </w:r>
    </w:p>
    <w:p>
      <w:pPr>
        <w:pStyle w:val="Normal"/>
        <w:numPr>
          <w:ilvl w:val="1"/>
          <w:numId w:val="12"/>
        </w:numPr>
        <w:spacing w:before="240" w:after="200"/>
        <w:rPr/>
      </w:pPr>
      <w:r>
        <w:rPr>
          <w:sz w:val="24"/>
          <w:szCs w:val="24"/>
        </w:rPr>
        <w:t xml:space="preserve">Studnia nr 2 zlokalizowana na działce nr 197/3, obręb 0016 Wiele, gmina Mrocza. Ujęcie wody posiada ustanowioną strefę ochrony bezpośredniej w granicach istniejącego ogrodzenia SUW. </w:t>
      </w:r>
    </w:p>
    <w:p>
      <w:pPr>
        <w:pStyle w:val="Normal"/>
        <w:spacing w:before="240" w:after="200"/>
        <w:rPr>
          <w:sz w:val="24"/>
          <w:szCs w:val="24"/>
        </w:rPr>
      </w:pPr>
      <w:r>
        <w:rPr>
          <w:sz w:val="24"/>
          <w:szCs w:val="24"/>
        </w:rPr>
        <w:t>Decyzja ustanawiająca strefę ochrony bezpośredniej: Decyzja Dyrektora Zarządu Zlewni w Inowrocławiu z dnia 24 czerwca 2020 r. o nr BD.ZUZ.1.4100.263.1.2018.PK</w:t>
      </w:r>
    </w:p>
    <w:p>
      <w:pPr>
        <w:pStyle w:val="Normal"/>
        <w:spacing w:before="240" w:after="200"/>
        <w:rPr/>
      </w:pPr>
      <w:r>
        <w:rPr>
          <w:sz w:val="24"/>
          <w:szCs w:val="24"/>
        </w:rPr>
        <w:t>Na terenie ochrony bezpośredniej ujęć wód podziemnych oraz powierzchniowych zabronione jest użytkowanie gruntów do celów niezwiązanych z eksploatacją ujęcia wody</w:t>
      </w:r>
    </w:p>
    <w:p>
      <w:pPr>
        <w:pStyle w:val="Normal"/>
        <w:spacing w:before="240" w:after="200"/>
        <w:rPr/>
      </w:pPr>
      <w:r>
        <w:rPr>
          <w:sz w:val="24"/>
          <w:szCs w:val="24"/>
        </w:rPr>
        <w:t xml:space="preserve">Na terenie ochrony bezpośredniej należy: </w:t>
      </w:r>
    </w:p>
    <w:p>
      <w:pPr>
        <w:pStyle w:val="Normal"/>
        <w:numPr>
          <w:ilvl w:val="0"/>
          <w:numId w:val="5"/>
        </w:numPr>
        <w:spacing w:before="240" w:after="200"/>
        <w:rPr/>
      </w:pPr>
      <w:r>
        <w:rPr>
          <w:sz w:val="24"/>
          <w:szCs w:val="24"/>
        </w:rPr>
        <w:t>Odprowadzać wody opadowe lub roztopowe w sposób uniemożliwiający przedostawanie się ich do urządzeń służących do poboru wody;</w:t>
      </w:r>
    </w:p>
    <w:p>
      <w:pPr>
        <w:pStyle w:val="Normal"/>
        <w:numPr>
          <w:ilvl w:val="0"/>
          <w:numId w:val="5"/>
        </w:numPr>
        <w:spacing w:before="240" w:after="200"/>
        <w:rPr/>
      </w:pPr>
      <w:r>
        <w:rPr>
          <w:sz w:val="24"/>
          <w:szCs w:val="24"/>
        </w:rPr>
        <w:t>Zagospodarować teren zielenią;</w:t>
      </w:r>
    </w:p>
    <w:p>
      <w:pPr>
        <w:pStyle w:val="Normal"/>
        <w:numPr>
          <w:ilvl w:val="0"/>
          <w:numId w:val="5"/>
        </w:numPr>
        <w:spacing w:before="240" w:after="200"/>
        <w:rPr/>
      </w:pPr>
      <w:r>
        <w:rPr>
          <w:sz w:val="24"/>
          <w:szCs w:val="24"/>
        </w:rPr>
        <w:t>Odprowadzać poza granicę terenu ochrony bezpośredniej ścieki z urządzeń sanitarnych przeznaczonych do użytku dla osób zatrudnionych przy obsłudze urządzeń służących do poboru wody;</w:t>
      </w:r>
    </w:p>
    <w:p>
      <w:pPr>
        <w:pStyle w:val="Normal"/>
        <w:numPr>
          <w:ilvl w:val="0"/>
          <w:numId w:val="5"/>
        </w:numPr>
        <w:spacing w:before="240" w:after="200"/>
        <w:rPr/>
      </w:pPr>
      <w:r>
        <w:rPr>
          <w:sz w:val="24"/>
          <w:szCs w:val="24"/>
        </w:rPr>
        <w:t>Ograniczyć wyłącznie do niezbędnych potrzeb przebywanie osób niezatrudnionych przy obsłudze urządzeń służących do poboru wody.</w:t>
      </w:r>
    </w:p>
    <w:p>
      <w:pPr>
        <w:pStyle w:val="Normal"/>
        <w:spacing w:before="240" w:after="200"/>
        <w:rPr/>
      </w:pPr>
      <w:r>
        <w:rPr>
          <w:sz w:val="24"/>
          <w:szCs w:val="24"/>
        </w:rPr>
        <w:t>Teren ochrony bezpośredniej należy ogrodzić, a jego granice przebiegające przez wody powierzchniowe oznaczyć za pomocą rozmieszczonych w widocznych miejscach stałych znaków stojących lub pływających; na ogrodzeniu oraz znakach należy umieścić tablice zawierające informacje o ujęciu wody i zakazie wstępu osób nieupoważnionych</w:t>
      </w:r>
    </w:p>
    <w:p>
      <w:pPr>
        <w:pStyle w:val="NormalWeb"/>
        <w:numPr>
          <w:ilvl w:val="0"/>
          <w:numId w:val="4"/>
        </w:numPr>
        <w:spacing w:before="0" w:after="0"/>
        <w:ind w:left="426" w:hanging="426"/>
        <w:rPr/>
      </w:pPr>
      <w:r>
        <w:rPr>
          <w:rStyle w:val="Wyrnienie"/>
          <w:sz w:val="24"/>
        </w:rPr>
        <w:t>Informacje o obszarach ochronnych zbiorników wód śródlądowych, występujących na obszarze aglomeracji, zawierające oznaczenie aktu prawa miejscowego ustanawiającego te obszary oraz zakazy, nakazy i ograniczenia obowiązujące na tych obszarach.</w:t>
      </w:r>
    </w:p>
    <w:p>
      <w:pPr>
        <w:pStyle w:val="Normal"/>
        <w:spacing w:before="240" w:after="200"/>
        <w:rPr/>
      </w:pPr>
      <w:r>
        <w:rPr>
          <w:rStyle w:val="Wyrnienie"/>
          <w:b w:val="false"/>
          <w:bCs/>
          <w:sz w:val="24"/>
          <w:szCs w:val="24"/>
        </w:rPr>
        <w:t>Na terenie aglomeracji Mrocza nie występują obszary ochronne zbiorników wód śródlądowych.</w:t>
      </w:r>
    </w:p>
    <w:p>
      <w:pPr>
        <w:pStyle w:val="NormalWeb"/>
        <w:numPr>
          <w:ilvl w:val="0"/>
          <w:numId w:val="4"/>
        </w:numPr>
        <w:spacing w:before="0" w:after="0"/>
        <w:ind w:left="426" w:hanging="426"/>
        <w:rPr/>
      </w:pPr>
      <w:r>
        <w:rPr>
          <w:rStyle w:val="Wyrnienie"/>
          <w:sz w:val="24"/>
        </w:rPr>
        <w:t>Informacje o formach ochrony przyrody, występujących na obszarze aglomeracji, zawierające nazwę formy ochrony przyrody oraz wskazanie aktu prawnego uznającego określony obszar za formę ochrony przyrody.</w:t>
      </w:r>
    </w:p>
    <w:p>
      <w:pPr>
        <w:pStyle w:val="NormalWeb"/>
        <w:spacing w:before="0" w:after="0"/>
        <w:ind w:left="426" w:hanging="0"/>
        <w:rPr/>
      </w:pPr>
      <w:r>
        <w:rPr/>
      </w:r>
    </w:p>
    <w:p>
      <w:pPr>
        <w:pStyle w:val="Normal"/>
        <w:rPr>
          <w:color w:val="auto"/>
        </w:rPr>
      </w:pPr>
      <w:r>
        <w:rPr>
          <w:sz w:val="24"/>
          <w:szCs w:val="24"/>
        </w:rPr>
        <w:t xml:space="preserve">Na </w:t>
      </w:r>
      <w:r>
        <w:rPr>
          <w:color w:val="auto"/>
          <w:sz w:val="24"/>
          <w:szCs w:val="24"/>
        </w:rPr>
        <w:t>terenie aglomeracji są zlokalizowane następujące formy ochrony przyrody:</w:t>
      </w:r>
    </w:p>
    <w:p>
      <w:pPr>
        <w:pStyle w:val="Normal"/>
        <w:numPr>
          <w:ilvl w:val="0"/>
          <w:numId w:val="13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Obszary Chronionego Krajobrazu: Rynny Jezior Byszewskich - </w:t>
      </w:r>
      <w:r>
        <w:rPr>
          <w:color w:val="auto"/>
          <w:sz w:val="24"/>
          <w:szCs w:val="24"/>
          <w:shd w:fill="FFFFFF" w:val="clear"/>
        </w:rPr>
        <w:t>Uchwała nr XI/258/19 Sejmiku Województwa Kujawsko-Pomorskiego z dnia 13 listopada 2019 r. w sprawie w sprawie Obszaru Chronionego Krajobrazu Rynny Jezior Byszewskich (Dz. Urz. Woj. Kuj.-Pom. poz. 6118)</w:t>
      </w:r>
    </w:p>
    <w:p>
      <w:pPr>
        <w:pStyle w:val="Normal"/>
        <w:numPr>
          <w:ilvl w:val="0"/>
          <w:numId w:val="13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Park Krajobrazowy: Krajeński Park Krajobrazowy - </w:t>
      </w:r>
      <w:r>
        <w:rPr>
          <w:color w:val="auto"/>
          <w:sz w:val="24"/>
          <w:szCs w:val="24"/>
          <w:shd w:fill="FFFFFF" w:val="clear"/>
        </w:rPr>
        <w:t>Uchwała nr X/229/15 Sejmiku Województwa Kujawsko-Pomorskiego z dnia 24 sierpnia 2015 r. w sprawie Krajeńskiego Parku Krajobrazowego (Dz. Urz. Woj. Kuj.-Pom. poz. 2550)</w:t>
      </w:r>
    </w:p>
    <w:p>
      <w:pPr>
        <w:pStyle w:val="ListParagraph"/>
        <w:numPr>
          <w:ilvl w:val="0"/>
          <w:numId w:val="13"/>
        </w:numPr>
        <w:suppressAutoHyphens w:val="false"/>
        <w:spacing w:before="0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drzewo: Dąb szypułkowy - Quercus robur - Rozporządzenie Nr 305/93 Wojewody Bydgoskiego z dnia 26 października 1993 r. w sprawie uznania za pomniki przyrody tworów przyrody na terenie województwa bydgoskiego (Dz. Urz. Woj. Bydg. z 16.12.1994 r., nr 20, poz. 316)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grupa drzew (8 szt.): Buk pospolity (Buk zwyczajny) - Fagus sylvatica, Dąb bezszypułkowy - Quercus petraea, Jesion wyniosły - Fraxinus excelsior - Rozporządzenie Nr 305/93 Wojewody Bydgoskiego z dnia 26 października 1993 r. w sprawie uznania za pomniki przyrody tworów przyrody na terenie województwa bydgoskiego (Dz. Urz. Woj. Bydg. z 16.12.1994 r., nr 20, poz. 316)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grupa drzew: Dąb szypułkowy - Quercus robur - Zarządzenie Nr 83/89 Wojewody Bydgoskiego z dnia 16 grudnia 1989r. w sprawie uznania za pomniki przyrody tworów przyrody na terenie województwa bydgoskiego (Dz. Urz. Woj. Bydg. z 26.01.1990 r., nr 1, poz. 10)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grupa drzew (5 szt.): Buk pospolity (Buk zwyczajny) - Fagus sylvatica, Dąb bezszypułkowy - Quercus petraea, Jesion wyniosły - Fraxinus excelsior, Platan klonolistny - Platanus xacerifolia (Platanus xhispanica) - Komunikat Nr 1/70 Wojewódzkiego Konserwatora Przyrody Wydziału Rolnictwa i Leśnictwa Prezydium Wojewódzkiej Rady Narodowej w Bydgoszczy z dnia 31 lipca 1970r. w sprawie uznania za pomniki przyrody tworów przyrody w woj. bydgoskim. (Dz. Urz. WRN w Bydgoszczy (Dz. Urz. Woj. Rady Narodowej w Bydgoszczy z 10.09.1970 r., nr 20, poz. 208)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grupa drzew (9 szt.): Buk pospolity (Buk zwyczajny) - Fagus sylvatica, Dąb czerwony - Quercus rubra, Dąb szypułkowy - Quercus robur, Jodła pospolita (Jodła biała) - Abies alba, Wiąz pospolity (Wiąz polny) - Ulmus minor - Rozporządzenie Nr 13/97 Wojewody Bydgoskiego z dnia 14 kwietnia 1997 r. w sprawie uznania za pomniki przyrody tworów przyrody na terenie województwa bydgoskiego (Dz. Urz. Woj. Bydg. z 07.05.1997 r., nr 16, poz. 78)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 przyrody: drzewo: Dąb bezszypułkowy - Quercus petraea - Rozporządzenie Nr 11/91 Wojewody Bydgoskiego z dnia 1 lipca 1991 r. w sprawie uznania za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pomniki przyrody tworów przyrody na terenie województwa bydgoskiego (Dz. Urz. Woj. Bydg. z 30.07.1991 r., nr 15, poz. 120)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ekologiczny: bagno - Rozporządzenie Nr 66/98 Wojewody Bydgoskiego z 24.12.1998 r. w sprawie uznania za użytki ekologiczne tworów przyrody na terenie województwa bydgoskiego (Dz. Urz. Woj. Bydg. z 31.12.1998 r. Nr 68, poz. 441)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ekologiczny: bagno - Rozporządzenie Nr 1/2004 Wojewody Kujawsko-Pomorskiego z 19.01.2004 r. w sprawie uznania za użytki ekologiczne (Dz. Urz. Woj. Kuj-Pom. z 05.02.2004 r. Nr 8, poz. 76)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ekologiczny: bagno - Rozporządzenie Nr 346/94 Wojewody Bydgoskiego z 30.12.1994 r. w sprawie uznania za użytki ekologiczne tworów przyrody na terenie województwa bydgoskiego (Dz. Urz. Woj. Bydg. z 22.02.1995 r. Nr 1, poz. 3)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ekologiczny: bagno - Rozporządzenie Nr 346/94 Wojewody Bydgoskiego z 30.12.1994 r. w sprawie uznania za użytki ekologiczne tworów przyrody na terenie województwa bydgoskiego (Dz. Urz. Woj. Bydg. z 22.02.1995 r. Nr 1, poz. 3)</w:t>
      </w:r>
    </w:p>
    <w:p>
      <w:pPr>
        <w:pStyle w:val="ListParagraph"/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3"/>
        </w:numPr>
        <w:suppressAutoHyphens w:val="false"/>
        <w:spacing w:beforeAutospacing="1" w:afterAutospacing="1"/>
        <w:contextualSpacing/>
        <w:rPr>
          <w:rFonts w:eastAsia="Times New Roman"/>
          <w:color w:val="000000"/>
          <w:sz w:val="24"/>
          <w:szCs w:val="24"/>
          <w:lang w:eastAsia="pl-PL"/>
        </w:rPr>
      </w:pPr>
      <w:r>
        <w:rPr>
          <w:rFonts w:eastAsia="Times New Roman"/>
          <w:color w:val="000000"/>
          <w:sz w:val="24"/>
          <w:szCs w:val="24"/>
          <w:lang w:eastAsia="pl-PL"/>
        </w:rPr>
        <w:t>Użytek ekologiczny: bagno - Rozporządzenie Nr 346/94 Wojewody Bydgoskiego z 30.12.1994 r. w sprawie uznania za użytki ekologiczne tworów przyrody na terenie województwa bydgoskiego (Dz. Urz. Woj. Bydg. z 22.02.1995 r. Nr 1, poz. 3)</w:t>
      </w:r>
    </w:p>
    <w:p>
      <w:pPr>
        <w:pStyle w:val="Normal"/>
        <w:ind w:left="72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before="0" w:after="200"/>
        <w:jc w:val="both"/>
        <w:rPr/>
      </w:pPr>
      <w:r>
        <w:rPr/>
      </w:r>
    </w:p>
    <w:sectPr>
      <w:headerReference w:type="default" r:id="rId8"/>
      <w:footerReference w:type="default" r:id="rId9"/>
      <w:footnotePr>
        <w:numFmt w:val="decimal"/>
      </w:footnotePr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pBdr>
        <w:top w:val="single" w:sz="4" w:space="1" w:color="000001"/>
      </w:pBdr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pBdr>
        <w:top w:val="single" w:sz="4" w:space="1" w:color="000001"/>
      </w:pBdr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pBdr>
        <w:top w:val="single" w:sz="4" w:space="1" w:color="000001"/>
      </w:pBdr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16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spacing w:before="0" w:after="200"/>
        <w:rPr/>
      </w:pPr>
      <w:r>
        <w:rPr>
          <w:rStyle w:val="Znakiprzypiswdolnych"/>
        </w:rPr>
        <w:footnoteRef/>
      </w:r>
      <w:r>
        <w:rPr>
          <w:rFonts w:eastAsia="Times New Roman"/>
        </w:rPr>
        <w:t xml:space="preserve"> </w:t>
      </w:r>
      <w:r>
        <w:rPr/>
        <w:t>Znakiem „X” zaznaczyć właściwą odpowiedź</w:t>
      </w:r>
    </w:p>
  </w:footnote>
  <w:footnote w:id="3">
    <w:p>
      <w:pPr>
        <w:pStyle w:val="Przypisdolny"/>
        <w:spacing w:before="0" w:after="200"/>
        <w:rPr/>
      </w:pPr>
      <w:r>
        <w:rPr>
          <w:rStyle w:val="Znakiprzypiswdolnych"/>
        </w:rPr>
        <w:footnoteRef/>
      </w:r>
      <w:r>
        <w:rPr>
          <w:shd w:fill="FFFFFF" w:val="clear"/>
        </w:rPr>
        <w:t>Pod pojęciem „osoby czasowo przebywające na terenie aglomeracji” rozumie się liczbę zarejestrowanych miejsc noclegowych w obiektach usług turystycznych, szpitalach, internatach, więzieniach etc.</w:t>
      </w:r>
    </w:p>
  </w:footnote>
  <w:footnote w:id="4">
    <w:p>
      <w:pPr>
        <w:pStyle w:val="Przypisdolny"/>
        <w:spacing w:before="0" w:after="200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Planowany termin podłączenia: 31 grudzień 2021 r.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single" w:sz="4" w:space="1" w:color="000001"/>
      </w:pBdr>
      <w:jc w:val="center"/>
      <w:rPr/>
    </w:pPr>
    <w:r>
      <w:rPr>
        <w:smallCaps/>
      </w:rPr>
      <w:t>Aglomeracja Mrocza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single" w:sz="4" w:space="1" w:color="000001"/>
      </w:pBdr>
      <w:jc w:val="center"/>
      <w:rPr/>
    </w:pPr>
    <w:r>
      <w:rPr>
        <w:smallCaps/>
      </w:rPr>
      <w:t>Aglomeracja Mrocza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single" w:sz="4" w:space="1" w:color="000001"/>
      </w:pBdr>
      <w:jc w:val="center"/>
      <w:rPr/>
    </w:pPr>
    <w:r>
      <w:rPr>
        <w:smallCaps/>
      </w:rPr>
      <w:t>Aglomeracja Mrocza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6"/>
      <w:numFmt w:val="decimal"/>
      <w:lvlText w:val="%1."/>
      <w:lvlJc w:val="left"/>
      <w:pPr>
        <w:ind w:left="720" w:hanging="360"/>
      </w:pPr>
      <w:rPr>
        <w:sz w:val="24"/>
        <w:rFonts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sz w:val="24"/>
        <w:szCs w:val="24"/>
        <w:rFonts w:cs="Times New Roman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3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3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5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2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48" w:hanging="2160"/>
      </w:pPr>
      <w:rPr>
        <w:rFonts w:cs="Times New Roman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5.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sz w:val="24"/>
        <w:szCs w:val="24"/>
        <w:rFonts w:cs="Times New Roman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3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3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56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2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048" w:hanging="2160"/>
      </w:pPr>
      <w:rPr>
        <w:rFonts w:cs="Times New Roman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b w:val="false"/>
        <w:rFonts w:cs="Times New Roman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7"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200"/>
      <w:jc w:val="both"/>
    </w:pPr>
    <w:rPr>
      <w:rFonts w:ascii="Times New Roman" w:hAnsi="Times New Roman" w:eastAsia="Calibri" w:cs="Times New Roman"/>
      <w:color w:val="00000A"/>
      <w:kern w:val="0"/>
      <w:sz w:val="22"/>
      <w:szCs w:val="22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numPr>
        <w:ilvl w:val="0"/>
        <w:numId w:val="1"/>
      </w:numPr>
      <w:spacing w:lineRule="auto" w:line="360" w:before="60" w:after="0"/>
      <w:jc w:val="center"/>
      <w:outlineLvl w:val="0"/>
    </w:pPr>
    <w:rPr>
      <w:rFonts w:eastAsia="Times New Roman"/>
      <w:sz w:val="24"/>
      <w:szCs w:val="20"/>
    </w:rPr>
  </w:style>
  <w:style w:type="paragraph" w:styleId="Nagwek2">
    <w:name w:val="Heading 2"/>
    <w:basedOn w:val="Normal"/>
    <w:qFormat/>
    <w:pPr>
      <w:keepNext w:val="true"/>
      <w:numPr>
        <w:ilvl w:val="1"/>
        <w:numId w:val="1"/>
      </w:numPr>
      <w:spacing w:lineRule="auto" w:line="360" w:before="0" w:after="0"/>
      <w:jc w:val="center"/>
      <w:outlineLvl w:val="1"/>
    </w:pPr>
    <w:rPr>
      <w:rFonts w:eastAsia="Times New Roman"/>
      <w:b/>
      <w:spacing w:val="10"/>
      <w:sz w:val="28"/>
      <w:szCs w:val="20"/>
    </w:rPr>
  </w:style>
  <w:style w:type="paragraph" w:styleId="Nagwek4">
    <w:name w:val="Heading 4"/>
    <w:basedOn w:val="Normal"/>
    <w:qFormat/>
    <w:pPr>
      <w:keepNext w:val="true"/>
      <w:numPr>
        <w:ilvl w:val="3"/>
        <w:numId w:val="1"/>
      </w:numPr>
      <w:spacing w:before="0" w:after="0"/>
      <w:outlineLvl w:val="3"/>
    </w:pPr>
    <w:rPr>
      <w:rFonts w:eastAsia="Times New Roman"/>
      <w:b/>
      <w:sz w:val="24"/>
      <w:szCs w:val="20"/>
    </w:rPr>
  </w:style>
  <w:style w:type="paragraph" w:styleId="Nagwek7">
    <w:name w:val="Heading 7"/>
    <w:basedOn w:val="Normal"/>
    <w:qFormat/>
    <w:pPr>
      <w:keepNext w:val="true"/>
      <w:numPr>
        <w:ilvl w:val="6"/>
        <w:numId w:val="1"/>
      </w:numPr>
      <w:spacing w:before="0" w:after="0"/>
      <w:outlineLvl w:val="6"/>
    </w:pPr>
    <w:rPr>
      <w:rFonts w:eastAsia="Times New Roman"/>
      <w:sz w:val="20"/>
      <w:szCs w:val="20"/>
      <w:u w:val="single"/>
    </w:rPr>
  </w:style>
  <w:style w:type="paragraph" w:styleId="Nagwek8">
    <w:name w:val="Heading 8"/>
    <w:basedOn w:val="Normal"/>
    <w:qFormat/>
    <w:pPr>
      <w:keepNext w:val="true"/>
      <w:numPr>
        <w:ilvl w:val="7"/>
        <w:numId w:val="1"/>
      </w:numPr>
      <w:spacing w:before="0" w:after="0"/>
      <w:jc w:val="center"/>
      <w:outlineLvl w:val="7"/>
    </w:pPr>
    <w:rPr>
      <w:rFonts w:eastAsia="Times New Roman"/>
      <w:b/>
      <w:sz w:val="24"/>
      <w:szCs w:val="20"/>
    </w:rPr>
  </w:style>
  <w:style w:type="paragraph" w:styleId="Nagwek9">
    <w:name w:val="Heading 9"/>
    <w:basedOn w:val="Normal"/>
    <w:qFormat/>
    <w:pPr>
      <w:keepNext w:val="true"/>
      <w:numPr>
        <w:ilvl w:val="8"/>
        <w:numId w:val="1"/>
      </w:numPr>
      <w:spacing w:before="0" w:after="0"/>
      <w:jc w:val="center"/>
      <w:outlineLvl w:val="8"/>
    </w:pPr>
    <w:rPr>
      <w:rFonts w:eastAsia="Times New Roman"/>
      <w:sz w:val="20"/>
      <w:szCs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cs="Times New Roman"/>
    </w:rPr>
  </w:style>
  <w:style w:type="character" w:styleId="WW8Num2z1" w:customStyle="1">
    <w:name w:val="WW8Num2z1"/>
    <w:qFormat/>
    <w:rPr>
      <w:rFonts w:cs="Times New Roman"/>
      <w:sz w:val="24"/>
      <w:szCs w:val="24"/>
    </w:rPr>
  </w:style>
  <w:style w:type="character" w:styleId="WW8Num3z0" w:customStyle="1">
    <w:name w:val="WW8Num3z0"/>
    <w:qFormat/>
    <w:rPr>
      <w:bCs/>
      <w:sz w:val="20"/>
    </w:rPr>
  </w:style>
  <w:style w:type="character" w:styleId="WW8Num4z0" w:customStyle="1">
    <w:name w:val="WW8Num4z0"/>
    <w:qFormat/>
    <w:rPr>
      <w:rFonts w:cs="Times New Roman"/>
      <w:sz w:val="24"/>
    </w:rPr>
  </w:style>
  <w:style w:type="character" w:styleId="WW8Num4z1" w:customStyle="1">
    <w:name w:val="WW8Num4z1"/>
    <w:qFormat/>
    <w:rPr>
      <w:rFonts w:cs="Times New Roman"/>
      <w:sz w:val="24"/>
      <w:szCs w:val="24"/>
    </w:rPr>
  </w:style>
  <w:style w:type="character" w:styleId="WW8Num4z2" w:customStyle="1">
    <w:name w:val="WW8Num4z2"/>
    <w:qFormat/>
    <w:rPr>
      <w:rFonts w:cs="Times New Roman"/>
    </w:rPr>
  </w:style>
  <w:style w:type="character" w:styleId="WW8Num5z0" w:customStyle="1">
    <w:name w:val="WW8Num5z0"/>
    <w:qFormat/>
    <w:rPr>
      <w:rFonts w:ascii="Times New Roman" w:hAnsi="Times New Roman" w:cs="Times New Roman"/>
    </w:rPr>
  </w:style>
  <w:style w:type="character" w:styleId="WW8Num6z0" w:customStyle="1">
    <w:name w:val="WW8Num6z0"/>
    <w:qFormat/>
    <w:rPr/>
  </w:style>
  <w:style w:type="character" w:styleId="WW8Num7z0" w:customStyle="1">
    <w:name w:val="WW8Num7z0"/>
    <w:qFormat/>
    <w:rPr>
      <w:rFonts w:ascii="Times New Roman" w:hAnsi="Times New Roman" w:cs="Times New Roman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7z4" w:customStyle="1">
    <w:name w:val="WW8Num7z4"/>
    <w:qFormat/>
    <w:rPr>
      <w:rFonts w:ascii="Courier New" w:hAnsi="Courier New" w:cs="Courier New"/>
    </w:rPr>
  </w:style>
  <w:style w:type="character" w:styleId="WW8Num8z0" w:customStyle="1">
    <w:name w:val="WW8Num8z0"/>
    <w:qFormat/>
    <w:rPr>
      <w:rFonts w:cs="Times New Roman"/>
      <w:sz w:val="24"/>
    </w:rPr>
  </w:style>
  <w:style w:type="character" w:styleId="WW8Num8z1" w:customStyle="1">
    <w:name w:val="WW8Num8z1"/>
    <w:qFormat/>
    <w:rPr>
      <w:rFonts w:cs="Times New Roman"/>
      <w:sz w:val="24"/>
      <w:szCs w:val="24"/>
    </w:rPr>
  </w:style>
  <w:style w:type="character" w:styleId="WW8Num8z2" w:customStyle="1">
    <w:name w:val="WW8Num8z2"/>
    <w:qFormat/>
    <w:rPr>
      <w:rFonts w:cs="Times New Roman"/>
    </w:rPr>
  </w:style>
  <w:style w:type="character" w:styleId="WW8Num9z0" w:customStyle="1">
    <w:name w:val="WW8Num9z0"/>
    <w:qFormat/>
    <w:rPr>
      <w:rFonts w:ascii="Times New Roman" w:hAnsi="Times New Roman" w:cs="Times New Roman"/>
    </w:rPr>
  </w:style>
  <w:style w:type="character" w:styleId="WW8Num10z0" w:customStyle="1">
    <w:name w:val="WW8Num10z0"/>
    <w:qFormat/>
    <w:rPr>
      <w:rFonts w:cs="Times New Roman"/>
    </w:rPr>
  </w:style>
  <w:style w:type="character" w:styleId="WW8Num10z1" w:customStyle="1">
    <w:name w:val="WW8Num10z1"/>
    <w:qFormat/>
    <w:rPr>
      <w:rFonts w:cs="Times New Roman"/>
      <w:sz w:val="24"/>
      <w:szCs w:val="24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Times New Roman" w:hAnsi="Times New Roman" w:cs="Times New Roman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1z4" w:customStyle="1">
    <w:name w:val="WW8Num11z4"/>
    <w:qFormat/>
    <w:rPr>
      <w:rFonts w:ascii="Courier New" w:hAnsi="Courier New" w:cs="Courier New"/>
    </w:rPr>
  </w:style>
  <w:style w:type="character" w:styleId="WW8Num12z0" w:customStyle="1">
    <w:name w:val="WW8Num12z0"/>
    <w:qFormat/>
    <w:rPr/>
  </w:style>
  <w:style w:type="character" w:styleId="WW8Num13z0" w:customStyle="1">
    <w:name w:val="WW8Num13z0"/>
    <w:qFormat/>
    <w:rPr>
      <w:rFonts w:ascii="Times New Roman" w:hAnsi="Times New Roman" w:cs="Times New Roman"/>
    </w:rPr>
  </w:style>
  <w:style w:type="character" w:styleId="WW8Num13z2" w:customStyle="1">
    <w:name w:val="WW8Num13z2"/>
    <w:qFormat/>
    <w:rPr>
      <w:rFonts w:ascii="Wingdings" w:hAnsi="Wingdings" w:cs="Wingdings"/>
    </w:rPr>
  </w:style>
  <w:style w:type="character" w:styleId="WW8Num13z3" w:customStyle="1">
    <w:name w:val="WW8Num13z3"/>
    <w:qFormat/>
    <w:rPr>
      <w:rFonts w:ascii="Symbol" w:hAnsi="Symbol" w:cs="Symbol"/>
    </w:rPr>
  </w:style>
  <w:style w:type="character" w:styleId="WW8Num13z4" w:customStyle="1">
    <w:name w:val="WW8Num13z4"/>
    <w:qFormat/>
    <w:rPr>
      <w:rFonts w:ascii="Courier New" w:hAnsi="Courier New" w:cs="Courier New"/>
    </w:rPr>
  </w:style>
  <w:style w:type="character" w:styleId="WW8Num14z0" w:customStyle="1">
    <w:name w:val="WW8Num14z0"/>
    <w:qFormat/>
    <w:rPr>
      <w:rFonts w:ascii="Times New Roman" w:hAnsi="Times New Roman" w:cs="Times New Roman"/>
    </w:rPr>
  </w:style>
  <w:style w:type="character" w:styleId="WW8Num15z0" w:customStyle="1">
    <w:name w:val="WW8Num15z0"/>
    <w:qFormat/>
    <w:rPr>
      <w:rFonts w:ascii="Times New Roman" w:hAnsi="Times New Roman" w:cs="Times New Roman"/>
      <w:color w:val="000000"/>
    </w:rPr>
  </w:style>
  <w:style w:type="character" w:styleId="WW8Num16z0" w:customStyle="1">
    <w:name w:val="WW8Num16z0"/>
    <w:qFormat/>
    <w:rPr>
      <w:rFonts w:cs="Times New Roman"/>
      <w:b w:val="false"/>
      <w:lang w:val="de-DE"/>
    </w:rPr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6z3" w:customStyle="1">
    <w:name w:val="WW8Num16z3"/>
    <w:qFormat/>
    <w:rPr>
      <w:rFonts w:ascii="Symbol" w:hAnsi="Symbol" w:cs="Symbol"/>
    </w:rPr>
  </w:style>
  <w:style w:type="character" w:styleId="WW8Num16z4" w:customStyle="1">
    <w:name w:val="WW8Num16z4"/>
    <w:qFormat/>
    <w:rPr>
      <w:rFonts w:ascii="Courier New" w:hAnsi="Courier New" w:cs="Courier New"/>
    </w:rPr>
  </w:style>
  <w:style w:type="character" w:styleId="WW8Num17z0" w:customStyle="1">
    <w:name w:val="WW8Num17z0"/>
    <w:qFormat/>
    <w:rPr>
      <w:rFonts w:cs="Times New Roman"/>
      <w:b w:val="false"/>
      <w:lang w:val="de-DE"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3" w:customStyle="1">
    <w:name w:val="WW8Num2z3"/>
    <w:qFormat/>
    <w:rPr>
      <w:rFonts w:ascii="Symbol" w:hAnsi="Symbol" w:cs="Symbol"/>
    </w:rPr>
  </w:style>
  <w:style w:type="character" w:styleId="WW8Num3z1" w:customStyle="1">
    <w:name w:val="WW8Num3z1"/>
    <w:qFormat/>
    <w:rPr>
      <w:rFonts w:cs="Times New Roman"/>
      <w:sz w:val="24"/>
      <w:szCs w:val="24"/>
    </w:rPr>
  </w:style>
  <w:style w:type="character" w:styleId="WW8Num4z3" w:customStyle="1">
    <w:name w:val="WW8Num4z3"/>
    <w:qFormat/>
    <w:rPr>
      <w:rFonts w:ascii="Symbol" w:hAnsi="Symbol" w:cs="Symbol"/>
    </w:rPr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1" w:customStyle="1">
    <w:name w:val="WW8Num6z1"/>
    <w:qFormat/>
    <w:rPr>
      <w:rFonts w:cs="Times New Roman"/>
      <w:sz w:val="24"/>
      <w:szCs w:val="24"/>
    </w:rPr>
  </w:style>
  <w:style w:type="character" w:styleId="WW8Num6z2" w:customStyle="1">
    <w:name w:val="WW8Num6z2"/>
    <w:qFormat/>
    <w:rPr>
      <w:rFonts w:cs="Times New Roman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3" w:customStyle="1">
    <w:name w:val="WW8Num9z3"/>
    <w:qFormat/>
    <w:rPr>
      <w:rFonts w:ascii="Symbol" w:hAnsi="Symbol" w:cs="Symbol"/>
    </w:rPr>
  </w:style>
  <w:style w:type="character" w:styleId="WW8Num9z4" w:customStyle="1">
    <w:name w:val="WW8Num9z4"/>
    <w:qFormat/>
    <w:rPr>
      <w:rFonts w:ascii="Courier New" w:hAnsi="Courier New" w:cs="Courier New"/>
    </w:rPr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2z1" w:customStyle="1">
    <w:name w:val="WW8Num12z1"/>
    <w:qFormat/>
    <w:rPr>
      <w:rFonts w:cs="Times New Roman"/>
      <w:sz w:val="24"/>
      <w:szCs w:val="24"/>
    </w:rPr>
  </w:style>
  <w:style w:type="character" w:styleId="WW8Num12z2" w:customStyle="1">
    <w:name w:val="WW8Num12z2"/>
    <w:qFormat/>
    <w:rPr>
      <w:rFonts w:cs="Times New Roman"/>
    </w:rPr>
  </w:style>
  <w:style w:type="character" w:styleId="WW8Num13z1" w:customStyle="1">
    <w:name w:val="WW8Num13z1"/>
    <w:qFormat/>
    <w:rPr>
      <w:rFonts w:cs="Times New Roman"/>
      <w:sz w:val="24"/>
      <w:szCs w:val="24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5z1" w:customStyle="1">
    <w:name w:val="WW8Num15z1"/>
    <w:qFormat/>
    <w:rPr>
      <w:rFonts w:cs="Times New Roman"/>
      <w:sz w:val="24"/>
      <w:szCs w:val="24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8z0" w:customStyle="1">
    <w:name w:val="WW8Num18z0"/>
    <w:qFormat/>
    <w:rPr>
      <w:rFonts w:ascii="Tahoma" w:hAnsi="Tahoma" w:cs="Tahoma"/>
    </w:rPr>
  </w:style>
  <w:style w:type="character" w:styleId="WW8Num18z1" w:customStyle="1">
    <w:name w:val="WW8Num18z1"/>
    <w:qFormat/>
    <w:rPr>
      <w:rFonts w:ascii="Courier New" w:hAnsi="Courier New" w:cs="Courier New"/>
    </w:rPr>
  </w:style>
  <w:style w:type="character" w:styleId="WW8Num18z2" w:customStyle="1">
    <w:name w:val="WW8Num18z2"/>
    <w:qFormat/>
    <w:rPr>
      <w:rFonts w:ascii="Wingdings" w:hAnsi="Wingdings" w:cs="Wingdings"/>
    </w:rPr>
  </w:style>
  <w:style w:type="character" w:styleId="WW8Num18z3" w:customStyle="1">
    <w:name w:val="WW8Num18z3"/>
    <w:qFormat/>
    <w:rPr>
      <w:rFonts w:ascii="Symbol" w:hAnsi="Symbol" w:cs="Symbol"/>
    </w:rPr>
  </w:style>
  <w:style w:type="character" w:styleId="WW8Num19z0" w:customStyle="1">
    <w:name w:val="WW8Num19z0"/>
    <w:qFormat/>
    <w:rPr>
      <w:rFonts w:ascii="Symbol" w:hAnsi="Symbol" w:cs="Symbol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WW8Num20z0" w:customStyle="1">
    <w:name w:val="WW8Num20z0"/>
    <w:qFormat/>
    <w:rPr>
      <w:rFonts w:ascii="Times New Roman" w:hAnsi="Times New Roman" w:eastAsia="Calibri" w:cs="Times New Roman"/>
    </w:rPr>
  </w:style>
  <w:style w:type="character" w:styleId="WW8Num20z1" w:customStyle="1">
    <w:name w:val="WW8Num20z1"/>
    <w:qFormat/>
    <w:rPr>
      <w:rFonts w:ascii="Courier New" w:hAnsi="Courier New" w:cs="Courier New"/>
    </w:rPr>
  </w:style>
  <w:style w:type="character" w:styleId="WW8Num20z2" w:customStyle="1">
    <w:name w:val="WW8Num20z2"/>
    <w:qFormat/>
    <w:rPr>
      <w:rFonts w:ascii="Wingdings" w:hAnsi="Wingdings" w:cs="Wingdings"/>
    </w:rPr>
  </w:style>
  <w:style w:type="character" w:styleId="WW8Num20z3" w:customStyle="1">
    <w:name w:val="WW8Num20z3"/>
    <w:qFormat/>
    <w:rPr>
      <w:rFonts w:ascii="Symbol" w:hAnsi="Symbol" w:cs="Symbol"/>
    </w:rPr>
  </w:style>
  <w:style w:type="character" w:styleId="WW8Num21z0" w:customStyle="1">
    <w:name w:val="WW8Num21z0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2" w:customStyle="1">
    <w:name w:val="WW8Num21z2"/>
    <w:qFormat/>
    <w:rPr>
      <w:rFonts w:ascii="Wingdings" w:hAnsi="Wingdings" w:cs="Wingdings"/>
    </w:rPr>
  </w:style>
  <w:style w:type="character" w:styleId="WW8Num22z0" w:customStyle="1">
    <w:name w:val="WW8Num22z0"/>
    <w:qFormat/>
    <w:rPr>
      <w:rFonts w:ascii="Symbol" w:hAnsi="Symbol" w:cs="Symbol"/>
    </w:rPr>
  </w:style>
  <w:style w:type="character" w:styleId="WW8Num22z1" w:customStyle="1">
    <w:name w:val="WW8Num22z1"/>
    <w:qFormat/>
    <w:rPr>
      <w:rFonts w:ascii="Courier New" w:hAnsi="Courier New" w:cs="Courier New"/>
    </w:rPr>
  </w:style>
  <w:style w:type="character" w:styleId="WW8Num22z2" w:customStyle="1">
    <w:name w:val="WW8Num22z2"/>
    <w:qFormat/>
    <w:rPr>
      <w:rFonts w:ascii="Wingdings" w:hAnsi="Wingdings" w:cs="Wingdings"/>
    </w:rPr>
  </w:style>
  <w:style w:type="character" w:styleId="WW8Num23z0" w:customStyle="1">
    <w:name w:val="WW8Num23z0"/>
    <w:qFormat/>
    <w:rPr>
      <w:rFonts w:ascii="Symbol" w:hAnsi="Symbol" w:cs="Symbol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4z0" w:customStyle="1">
    <w:name w:val="WW8Num24z0"/>
    <w:qFormat/>
    <w:rPr>
      <w:rFonts w:cs="Times New Roman"/>
    </w:rPr>
  </w:style>
  <w:style w:type="character" w:styleId="WW8Num24z1" w:customStyle="1">
    <w:name w:val="WW8Num24z1"/>
    <w:qFormat/>
    <w:rPr>
      <w:rFonts w:cs="Times New Roman"/>
      <w:sz w:val="24"/>
      <w:szCs w:val="24"/>
    </w:rPr>
  </w:style>
  <w:style w:type="character" w:styleId="WW8Num25z0" w:customStyle="1">
    <w:name w:val="WW8Num25z0"/>
    <w:qFormat/>
    <w:rPr>
      <w:rFonts w:ascii="Symbol" w:hAnsi="Symbol" w:cs="Symbol"/>
    </w:rPr>
  </w:style>
  <w:style w:type="character" w:styleId="WW8Num25z1" w:customStyle="1">
    <w:name w:val="WW8Num25z1"/>
    <w:qFormat/>
    <w:rPr>
      <w:rFonts w:ascii="Times New Roman" w:hAnsi="Times New Roman" w:eastAsia="Calibri" w:cs="Times New Roman"/>
    </w:rPr>
  </w:style>
  <w:style w:type="character" w:styleId="WW8Num25z2" w:customStyle="1">
    <w:name w:val="WW8Num25z2"/>
    <w:qFormat/>
    <w:rPr>
      <w:rFonts w:ascii="Wingdings" w:hAnsi="Wingdings" w:cs="Wingdings"/>
    </w:rPr>
  </w:style>
  <w:style w:type="character" w:styleId="WW8Num25z4" w:customStyle="1">
    <w:name w:val="WW8Num25z4"/>
    <w:qFormat/>
    <w:rPr>
      <w:rFonts w:ascii="Courier New" w:hAnsi="Courier New" w:cs="Courier New"/>
    </w:rPr>
  </w:style>
  <w:style w:type="character" w:styleId="WW8Num26z0" w:customStyle="1">
    <w:name w:val="WW8Num26z0"/>
    <w:qFormat/>
    <w:rPr>
      <w:rFonts w:ascii="Times New Roman" w:hAnsi="Times New Roman" w:eastAsia="Calibri" w:cs="Times New Roman"/>
    </w:rPr>
  </w:style>
  <w:style w:type="character" w:styleId="WW8Num26z1" w:customStyle="1">
    <w:name w:val="WW8Num26z1"/>
    <w:qFormat/>
    <w:rPr>
      <w:rFonts w:ascii="Courier New" w:hAnsi="Courier New" w:cs="Courier New"/>
    </w:rPr>
  </w:style>
  <w:style w:type="character" w:styleId="WW8Num26z2" w:customStyle="1">
    <w:name w:val="WW8Num26z2"/>
    <w:qFormat/>
    <w:rPr>
      <w:rFonts w:ascii="Wingdings" w:hAnsi="Wingdings" w:cs="Wingdings"/>
    </w:rPr>
  </w:style>
  <w:style w:type="character" w:styleId="WW8Num26z3" w:customStyle="1">
    <w:name w:val="WW8Num26z3"/>
    <w:qFormat/>
    <w:rPr>
      <w:rFonts w:ascii="Symbol" w:hAnsi="Symbol" w:cs="Symbol"/>
    </w:rPr>
  </w:style>
  <w:style w:type="character" w:styleId="WW8Num27z0" w:customStyle="1">
    <w:name w:val="WW8Num27z0"/>
    <w:qFormat/>
    <w:rPr/>
  </w:style>
  <w:style w:type="character" w:styleId="WW8Num27z1" w:customStyle="1">
    <w:name w:val="WW8Num27z1"/>
    <w:qFormat/>
    <w:rPr>
      <w:rFonts w:ascii="Times New Roman" w:hAnsi="Times New Roman" w:eastAsia="Calibri" w:cs="Times New Roman"/>
    </w:rPr>
  </w:style>
  <w:style w:type="character" w:styleId="WW8Num27z2" w:customStyle="1">
    <w:name w:val="WW8Num27z2"/>
    <w:qFormat/>
    <w:rPr>
      <w:rFonts w:ascii="Wingdings" w:hAnsi="Wingdings" w:cs="Wingdings"/>
    </w:rPr>
  </w:style>
  <w:style w:type="character" w:styleId="WW8Num27z3" w:customStyle="1">
    <w:name w:val="WW8Num27z3"/>
    <w:qFormat/>
    <w:rPr>
      <w:rFonts w:ascii="Symbol" w:hAnsi="Symbol" w:cs="Symbol"/>
    </w:rPr>
  </w:style>
  <w:style w:type="character" w:styleId="WW8Num27z4" w:customStyle="1">
    <w:name w:val="WW8Num27z4"/>
    <w:qFormat/>
    <w:rPr>
      <w:rFonts w:ascii="Courier New" w:hAnsi="Courier New" w:cs="Courier New"/>
    </w:rPr>
  </w:style>
  <w:style w:type="character" w:styleId="WW8Num28z0" w:customStyle="1">
    <w:name w:val="WW8Num28z0"/>
    <w:qFormat/>
    <w:rPr>
      <w:rFonts w:cs="Times New Roman"/>
      <w:sz w:val="24"/>
    </w:rPr>
  </w:style>
  <w:style w:type="character" w:styleId="WW8Num28z1" w:customStyle="1">
    <w:name w:val="WW8Num28z1"/>
    <w:qFormat/>
    <w:rPr>
      <w:rFonts w:cs="Times New Roman"/>
      <w:sz w:val="24"/>
      <w:szCs w:val="24"/>
    </w:rPr>
  </w:style>
  <w:style w:type="character" w:styleId="WW8Num28z2" w:customStyle="1">
    <w:name w:val="WW8Num28z2"/>
    <w:qFormat/>
    <w:rPr>
      <w:rFonts w:cs="Times New Roman"/>
    </w:rPr>
  </w:style>
  <w:style w:type="character" w:styleId="WW8Num29z0" w:customStyle="1">
    <w:name w:val="WW8Num29z0"/>
    <w:qFormat/>
    <w:rPr>
      <w:rFonts w:ascii="Times New Roman" w:hAnsi="Times New Roman" w:eastAsia="Calibri" w:cs="Times New Roman"/>
    </w:rPr>
  </w:style>
  <w:style w:type="character" w:styleId="WW8Num29z2" w:customStyle="1">
    <w:name w:val="WW8Num29z2"/>
    <w:qFormat/>
    <w:rPr>
      <w:rFonts w:ascii="Wingdings" w:hAnsi="Wingdings" w:cs="Wingdings"/>
    </w:rPr>
  </w:style>
  <w:style w:type="character" w:styleId="WW8Num29z3" w:customStyle="1">
    <w:name w:val="WW8Num29z3"/>
    <w:qFormat/>
    <w:rPr>
      <w:rFonts w:ascii="Symbol" w:hAnsi="Symbol" w:cs="Symbol"/>
    </w:rPr>
  </w:style>
  <w:style w:type="character" w:styleId="WW8Num29z4" w:customStyle="1">
    <w:name w:val="WW8Num29z4"/>
    <w:qFormat/>
    <w:rPr>
      <w:rFonts w:ascii="Courier New" w:hAnsi="Courier New" w:cs="Courier New"/>
    </w:rPr>
  </w:style>
  <w:style w:type="character" w:styleId="WW8Num30z0" w:customStyle="1">
    <w:name w:val="WW8Num30z0"/>
    <w:qFormat/>
    <w:rPr>
      <w:rFonts w:ascii="Symbol" w:hAnsi="Symbol" w:cs="Symbol"/>
    </w:rPr>
  </w:style>
  <w:style w:type="character" w:styleId="WW8Num30z1" w:customStyle="1">
    <w:name w:val="WW8Num30z1"/>
    <w:qFormat/>
    <w:rPr>
      <w:rFonts w:ascii="Courier New" w:hAnsi="Courier New" w:cs="Courier New"/>
    </w:rPr>
  </w:style>
  <w:style w:type="character" w:styleId="WW8Num30z2" w:customStyle="1">
    <w:name w:val="WW8Num30z2"/>
    <w:qFormat/>
    <w:rPr>
      <w:rFonts w:ascii="Wingdings" w:hAnsi="Wingdings" w:cs="Wingdings"/>
    </w:rPr>
  </w:style>
  <w:style w:type="character" w:styleId="WW8Num31z0" w:customStyle="1">
    <w:name w:val="WW8Num31z0"/>
    <w:qFormat/>
    <w:rPr>
      <w:rFonts w:ascii="Times New Roman" w:hAnsi="Times New Roman" w:eastAsia="Calibri" w:cs="Times New Roman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2" w:customStyle="1">
    <w:name w:val="WW8Num31z2"/>
    <w:qFormat/>
    <w:rPr>
      <w:rFonts w:ascii="Wingdings" w:hAnsi="Wingdings" w:cs="Wingdings"/>
    </w:rPr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2z0" w:customStyle="1">
    <w:name w:val="WW8Num32z0"/>
    <w:qFormat/>
    <w:rPr>
      <w:rFonts w:ascii="Times New Roman" w:hAnsi="Times New Roman" w:eastAsia="Calibri" w:cs="Times New Roman"/>
      <w:color w:val="000000"/>
    </w:rPr>
  </w:style>
  <w:style w:type="character" w:styleId="WW8Num32z1" w:customStyle="1">
    <w:name w:val="WW8Num32z1"/>
    <w:qFormat/>
    <w:rPr>
      <w:rFonts w:ascii="Courier New" w:hAnsi="Courier New" w:cs="Courier New"/>
    </w:rPr>
  </w:style>
  <w:style w:type="character" w:styleId="WW8Num32z2" w:customStyle="1">
    <w:name w:val="WW8Num32z2"/>
    <w:qFormat/>
    <w:rPr>
      <w:rFonts w:ascii="Wingdings" w:hAnsi="Wingdings" w:cs="Wingdings"/>
    </w:rPr>
  </w:style>
  <w:style w:type="character" w:styleId="WW8Num32z3" w:customStyle="1">
    <w:name w:val="WW8Num32z3"/>
    <w:qFormat/>
    <w:rPr>
      <w:rFonts w:ascii="Symbol" w:hAnsi="Symbol" w:cs="Symbol"/>
    </w:rPr>
  </w:style>
  <w:style w:type="character" w:styleId="WW8Num33z0" w:customStyle="1">
    <w:name w:val="WW8Num33z0"/>
    <w:qFormat/>
    <w:rPr>
      <w:rFonts w:ascii="Symbol" w:hAnsi="Symbol" w:cs="Symbol"/>
    </w:rPr>
  </w:style>
  <w:style w:type="character" w:styleId="WW8Num33z1" w:customStyle="1">
    <w:name w:val="WW8Num33z1"/>
    <w:qFormat/>
    <w:rPr>
      <w:rFonts w:ascii="Courier New" w:hAnsi="Courier New" w:cs="Courier New"/>
    </w:rPr>
  </w:style>
  <w:style w:type="character" w:styleId="WW8Num33z2" w:customStyle="1">
    <w:name w:val="WW8Num33z2"/>
    <w:qFormat/>
    <w:rPr>
      <w:rFonts w:ascii="Wingdings" w:hAnsi="Wingdings" w:cs="Wingdings"/>
    </w:rPr>
  </w:style>
  <w:style w:type="character" w:styleId="WW8Num34z0" w:customStyle="1">
    <w:name w:val="WW8Num34z0"/>
    <w:qFormat/>
    <w:rPr>
      <w:rFonts w:ascii="Symbol" w:hAnsi="Symbol" w:cs="Symbol"/>
    </w:rPr>
  </w:style>
  <w:style w:type="character" w:styleId="WW8Num34z1" w:customStyle="1">
    <w:name w:val="WW8Num34z1"/>
    <w:qFormat/>
    <w:rPr>
      <w:rFonts w:ascii="Courier New" w:hAnsi="Courier New" w:cs="Courier New"/>
    </w:rPr>
  </w:style>
  <w:style w:type="character" w:styleId="WW8Num34z2" w:customStyle="1">
    <w:name w:val="WW8Num34z2"/>
    <w:qFormat/>
    <w:rPr>
      <w:rFonts w:ascii="Wingdings" w:hAnsi="Wingdings" w:cs="Wingdings"/>
    </w:rPr>
  </w:style>
  <w:style w:type="character" w:styleId="WW8Num35z0" w:customStyle="1">
    <w:name w:val="WW8Num35z0"/>
    <w:qFormat/>
    <w:rPr>
      <w:rFonts w:ascii="Times New Roman" w:hAnsi="Times New Roman" w:eastAsia="Calibri" w:cs="Times New Roman"/>
    </w:rPr>
  </w:style>
  <w:style w:type="character" w:styleId="WW8Num35z2" w:customStyle="1">
    <w:name w:val="WW8Num35z2"/>
    <w:qFormat/>
    <w:rPr>
      <w:rFonts w:ascii="Wingdings" w:hAnsi="Wingdings" w:cs="Wingdings"/>
    </w:rPr>
  </w:style>
  <w:style w:type="character" w:styleId="WW8Num35z3" w:customStyle="1">
    <w:name w:val="WW8Num35z3"/>
    <w:qFormat/>
    <w:rPr>
      <w:rFonts w:ascii="Symbol" w:hAnsi="Symbol" w:cs="Symbol"/>
    </w:rPr>
  </w:style>
  <w:style w:type="character" w:styleId="WW8Num35z4" w:customStyle="1">
    <w:name w:val="WW8Num35z4"/>
    <w:qFormat/>
    <w:rPr>
      <w:rFonts w:ascii="Courier New" w:hAnsi="Courier New" w:cs="Courier New"/>
    </w:rPr>
  </w:style>
  <w:style w:type="character" w:styleId="WW8Num36z0" w:customStyle="1">
    <w:name w:val="WW8Num36z0"/>
    <w:qFormat/>
    <w:rPr>
      <w:rFonts w:cs="Times New Roman"/>
      <w:b w:val="false"/>
      <w:lang w:val="de-DE"/>
    </w:rPr>
  </w:style>
  <w:style w:type="character" w:styleId="WW8Num36z1" w:customStyle="1">
    <w:name w:val="WW8Num36z1"/>
    <w:qFormat/>
    <w:rPr>
      <w:rFonts w:ascii="Times New Roman" w:hAnsi="Times New Roman" w:eastAsia="Calibri" w:cs="Times New Roman"/>
    </w:rPr>
  </w:style>
  <w:style w:type="character" w:styleId="WW8Num36z2" w:customStyle="1">
    <w:name w:val="WW8Num36z2"/>
    <w:qFormat/>
    <w:rPr>
      <w:rFonts w:cs="Times New Roman"/>
    </w:rPr>
  </w:style>
  <w:style w:type="character" w:styleId="Domylnaczcionkaakapitu1" w:customStyle="1">
    <w:name w:val="Domyślna czcionka akapitu1"/>
    <w:qFormat/>
    <w:rPr/>
  </w:style>
  <w:style w:type="character" w:styleId="Nagwek1Znak" w:customStyle="1">
    <w:name w:val="Nagłówek 1 Znak"/>
    <w:qFormat/>
    <w:rPr>
      <w:rFonts w:ascii="Times New Roman" w:hAnsi="Times New Roman" w:cs="Times New Roman"/>
      <w:sz w:val="20"/>
      <w:szCs w:val="20"/>
    </w:rPr>
  </w:style>
  <w:style w:type="character" w:styleId="Nagwek2Znak" w:customStyle="1">
    <w:name w:val="Nagłówek 2 Znak"/>
    <w:qFormat/>
    <w:rPr>
      <w:rFonts w:ascii="Times New Roman" w:hAnsi="Times New Roman" w:cs="Times New Roman"/>
      <w:b/>
      <w:spacing w:val="10"/>
      <w:sz w:val="20"/>
      <w:szCs w:val="20"/>
    </w:rPr>
  </w:style>
  <w:style w:type="character" w:styleId="Nagwek4Znak" w:customStyle="1">
    <w:name w:val="Nagłówek 4 Znak"/>
    <w:qFormat/>
    <w:rPr>
      <w:rFonts w:ascii="Times New Roman" w:hAnsi="Times New Roman" w:cs="Times New Roman"/>
      <w:b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cs="Times New Roman"/>
      <w:sz w:val="20"/>
      <w:szCs w:val="20"/>
      <w:u w:val="single"/>
    </w:rPr>
  </w:style>
  <w:style w:type="character" w:styleId="Nagwek8Znak" w:customStyle="1">
    <w:name w:val="Nagłówek 8 Znak"/>
    <w:qFormat/>
    <w:rPr>
      <w:rFonts w:ascii="Times New Roman" w:hAnsi="Times New Roman" w:cs="Times New Roman"/>
      <w:b/>
      <w:sz w:val="20"/>
      <w:szCs w:val="20"/>
    </w:rPr>
  </w:style>
  <w:style w:type="character" w:styleId="Nagwek9Znak" w:customStyle="1">
    <w:name w:val="Nagłówek 9 Znak"/>
    <w:qFormat/>
    <w:rPr>
      <w:rFonts w:ascii="Times New Roman" w:hAnsi="Times New Roman" w:cs="Times New Roman"/>
      <w:sz w:val="20"/>
      <w:szCs w:val="20"/>
      <w:u w:val="single"/>
    </w:rPr>
  </w:style>
  <w:style w:type="character" w:styleId="TekstprzypisudolnegoZnak" w:customStyle="1">
    <w:name w:val="Tekst przypisu dolnego Znak"/>
    <w:qFormat/>
    <w:rPr>
      <w:rFonts w:ascii="Calibri" w:hAnsi="Calibri" w:cs="Times New Roman"/>
      <w:sz w:val="20"/>
      <w:szCs w:val="20"/>
    </w:rPr>
  </w:style>
  <w:style w:type="character" w:styleId="Znakiprzypiswdolnych" w:customStyle="1">
    <w:name w:val="Znaki przypisów dolnych"/>
    <w:qFormat/>
    <w:rPr>
      <w:rFonts w:cs="Times New Roman"/>
      <w:vertAlign w:val="superscript"/>
    </w:rPr>
  </w:style>
  <w:style w:type="character" w:styleId="MapadokumentuZnak" w:customStyle="1">
    <w:name w:val="Mapa dokumentu Znak"/>
    <w:qFormat/>
    <w:rPr>
      <w:rFonts w:ascii="Tahoma" w:hAnsi="Tahoma" w:cs="Times New Roman"/>
      <w:sz w:val="16"/>
      <w:szCs w:val="16"/>
    </w:rPr>
  </w:style>
  <w:style w:type="character" w:styleId="TekstkomentarzaZnak" w:customStyle="1">
    <w:name w:val="Tekst komentarza Znak"/>
    <w:qFormat/>
    <w:rPr>
      <w:rFonts w:ascii="Times New Roman" w:hAnsi="Times New Roman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cs="Times New Roman"/>
      <w:sz w:val="20"/>
      <w:szCs w:val="20"/>
    </w:rPr>
  </w:style>
  <w:style w:type="character" w:styleId="NagwekZnak" w:customStyle="1">
    <w:name w:val="Nagłówek Znak"/>
    <w:qFormat/>
    <w:rPr>
      <w:rFonts w:ascii="Times New Roman" w:hAnsi="Times New Roman" w:cs="Times New Roman"/>
      <w:sz w:val="20"/>
      <w:szCs w:val="20"/>
    </w:rPr>
  </w:style>
  <w:style w:type="character" w:styleId="Odwoaniedokomentarza1" w:customStyle="1">
    <w:name w:val="Odwołanie do komentarza1"/>
    <w:qFormat/>
    <w:rPr>
      <w:rFonts w:cs="Times New Roman"/>
      <w:sz w:val="16"/>
    </w:rPr>
  </w:style>
  <w:style w:type="character" w:styleId="TekstpodstawowywcityZnak" w:customStyle="1">
    <w:name w:val="Tekst podstawowy wcięty Znak"/>
    <w:qFormat/>
    <w:rPr>
      <w:rFonts w:ascii="Times New Roman" w:hAnsi="Times New Roman" w:cs="Times New Roman"/>
      <w:b/>
      <w:sz w:val="20"/>
      <w:szCs w:val="20"/>
    </w:rPr>
  </w:style>
  <w:style w:type="character" w:styleId="TekstpodstawowyZnak" w:customStyle="1">
    <w:name w:val="Tekst podstawowy Znak"/>
    <w:qFormat/>
    <w:rPr>
      <w:rFonts w:ascii="Times New Roman" w:hAnsi="Times New Roman" w:cs="Times New Roman"/>
      <w:b/>
      <w:sz w:val="20"/>
      <w:szCs w:val="20"/>
    </w:rPr>
  </w:style>
  <w:style w:type="character" w:styleId="Tekstpodstawowy2Znak" w:customStyle="1">
    <w:name w:val="Tekst podstawowy 2 Znak"/>
    <w:qFormat/>
    <w:rPr>
      <w:rFonts w:ascii="Arial" w:hAnsi="Arial" w:cs="Times New Roman"/>
      <w:sz w:val="20"/>
      <w:szCs w:val="20"/>
    </w:rPr>
  </w:style>
  <w:style w:type="character" w:styleId="Czeinternetowe" w:customStyle="1">
    <w:name w:val="Łącze internetowe"/>
    <w:rPr>
      <w:rFonts w:cs="Times New Roman"/>
      <w:color w:val="0000FF"/>
      <w:u w:val="single"/>
    </w:rPr>
  </w:style>
  <w:style w:type="character" w:styleId="Wyrnienie" w:customStyle="1">
    <w:name w:val="Wyróżnienie"/>
    <w:qFormat/>
    <w:rPr>
      <w:rFonts w:ascii="Times New Roman" w:hAnsi="Times New Roman" w:cs="Times New Roman"/>
      <w:b/>
      <w:sz w:val="22"/>
    </w:rPr>
  </w:style>
  <w:style w:type="character" w:styleId="TekstdymkaZnak" w:customStyle="1">
    <w:name w:val="Tekst dymka Znak"/>
    <w:qFormat/>
    <w:rPr>
      <w:rFonts w:ascii="Tahoma" w:hAnsi="Tahoma" w:cs="Times New Roman"/>
      <w:sz w:val="16"/>
      <w:szCs w:val="16"/>
    </w:rPr>
  </w:style>
  <w:style w:type="character" w:styleId="TematkomentarzaZnak" w:customStyle="1">
    <w:name w:val="Temat komentarza Znak"/>
    <w:qFormat/>
    <w:rPr>
      <w:rFonts w:ascii="Times New Roman" w:hAnsi="Times New Roman" w:cs="Times New Roman"/>
      <w:b/>
      <w:bCs/>
      <w:sz w:val="20"/>
      <w:szCs w:val="20"/>
    </w:rPr>
  </w:style>
  <w:style w:type="character" w:styleId="TekstprzypisukocowegoZnak" w:customStyle="1">
    <w:name w:val="Tekst przypisu końcowego Znak"/>
    <w:qFormat/>
    <w:rPr>
      <w:rFonts w:ascii="Calibri" w:hAnsi="Calibri" w:cs="Times New Roman"/>
      <w:sz w:val="20"/>
      <w:szCs w:val="20"/>
    </w:rPr>
  </w:style>
  <w:style w:type="character" w:styleId="Znakiprzypiswkocowych" w:customStyle="1">
    <w:name w:val="Znaki przypisów końcowych"/>
    <w:qFormat/>
    <w:rPr>
      <w:rFonts w:cs="Times New Roman"/>
      <w:vertAlign w:val="superscript"/>
    </w:rPr>
  </w:style>
  <w:style w:type="character" w:styleId="CharStyle26" w:customStyle="1">
    <w:name w:val="Char Style 26"/>
    <w:qFormat/>
    <w:rPr>
      <w:rFonts w:cs="Times New Roman"/>
      <w:sz w:val="26"/>
      <w:szCs w:val="26"/>
      <w:u w:val="none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CharStyle36" w:customStyle="1">
    <w:name w:val="Char Style 36"/>
    <w:qFormat/>
    <w:rPr>
      <w:rFonts w:cs="Times New Roman"/>
      <w:sz w:val="26"/>
      <w:szCs w:val="26"/>
      <w:u w:val="none"/>
    </w:rPr>
  </w:style>
  <w:style w:type="character" w:styleId="CharStyle19" w:customStyle="1">
    <w:name w:val="Char Style 19"/>
    <w:qFormat/>
    <w:rPr>
      <w:rFonts w:cs="Times New Roman"/>
      <w:b/>
      <w:bCs/>
      <w:sz w:val="26"/>
      <w:szCs w:val="26"/>
      <w:u w:val="none"/>
    </w:rPr>
  </w:style>
  <w:style w:type="character" w:styleId="Strong">
    <w:name w:val="Strong"/>
    <w:qFormat/>
    <w:rPr>
      <w:b/>
      <w:bCs/>
    </w:rPr>
  </w:style>
  <w:style w:type="character" w:styleId="CharacterStyle1" w:customStyle="1">
    <w:name w:val="Character Style 1"/>
    <w:qFormat/>
    <w:rPr>
      <w:sz w:val="25"/>
      <w:szCs w:val="25"/>
    </w:rPr>
  </w:style>
  <w:style w:type="character" w:styleId="CharacterStyle2" w:customStyle="1">
    <w:name w:val="Character Style 2"/>
    <w:qFormat/>
    <w:rPr>
      <w:sz w:val="20"/>
      <w:szCs w:val="20"/>
    </w:rPr>
  </w:style>
  <w:style w:type="character" w:styleId="Appleconvertedspace" w:customStyle="1">
    <w:name w:val="apple-converted-space"/>
    <w:qFormat/>
    <w:rPr/>
  </w:style>
  <w:style w:type="character" w:styleId="WWWyrnienie" w:customStyle="1">
    <w:name w:val="WW-Wyróżnienie"/>
    <w:qFormat/>
    <w:rPr>
      <w:rFonts w:ascii="Times New Roman" w:hAnsi="Times New Roman" w:cs="Times New Roman"/>
      <w:b/>
      <w:sz w:val="22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8205a7"/>
    <w:rPr>
      <w:vertAlign w:val="superscript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ListLabel1" w:customStyle="1">
    <w:name w:val="ListLabel 1"/>
    <w:qFormat/>
    <w:rPr>
      <w:rFonts w:cs="Times New Roman"/>
    </w:rPr>
  </w:style>
  <w:style w:type="character" w:styleId="ListLabel2" w:customStyle="1">
    <w:name w:val="ListLabel 2"/>
    <w:qFormat/>
    <w:rPr>
      <w:rFonts w:cs="Times New Roman"/>
      <w:sz w:val="24"/>
      <w:szCs w:val="24"/>
    </w:rPr>
  </w:style>
  <w:style w:type="character" w:styleId="ListLabel3" w:customStyle="1">
    <w:name w:val="ListLabel 3"/>
    <w:qFormat/>
    <w:rPr>
      <w:rFonts w:cs="Times New Roman"/>
    </w:rPr>
  </w:style>
  <w:style w:type="character" w:styleId="ListLabel4" w:customStyle="1">
    <w:name w:val="ListLabel 4"/>
    <w:qFormat/>
    <w:rPr>
      <w:rFonts w:cs="Times New Roman"/>
    </w:rPr>
  </w:style>
  <w:style w:type="character" w:styleId="ListLabel5" w:customStyle="1">
    <w:name w:val="ListLabel 5"/>
    <w:qFormat/>
    <w:rPr>
      <w:rFonts w:cs="Times New Roman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rFonts w:cs="Times New Roman"/>
    </w:rPr>
  </w:style>
  <w:style w:type="character" w:styleId="ListLabel8" w:customStyle="1">
    <w:name w:val="ListLabel 8"/>
    <w:qFormat/>
    <w:rPr>
      <w:rFonts w:cs="Times New Roman"/>
    </w:rPr>
  </w:style>
  <w:style w:type="character" w:styleId="ListLabel9" w:customStyle="1">
    <w:name w:val="ListLabel 9"/>
    <w:qFormat/>
    <w:rPr>
      <w:rFonts w:cs="Times New Roman"/>
    </w:rPr>
  </w:style>
  <w:style w:type="character" w:styleId="ListLabel10" w:customStyle="1">
    <w:name w:val="ListLabel 10"/>
    <w:qFormat/>
    <w:rPr>
      <w:bCs/>
      <w:sz w:val="20"/>
    </w:rPr>
  </w:style>
  <w:style w:type="character" w:styleId="ListLabel11" w:customStyle="1">
    <w:name w:val="ListLabel 11"/>
    <w:qFormat/>
    <w:rPr>
      <w:rFonts w:cs="Times New Roman"/>
      <w:sz w:val="24"/>
    </w:rPr>
  </w:style>
  <w:style w:type="character" w:styleId="ListLabel12" w:customStyle="1">
    <w:name w:val="ListLabel 12"/>
    <w:qFormat/>
    <w:rPr>
      <w:rFonts w:cs="Times New Roman"/>
      <w:sz w:val="24"/>
      <w:szCs w:val="24"/>
    </w:rPr>
  </w:style>
  <w:style w:type="character" w:styleId="ListLabel13" w:customStyle="1">
    <w:name w:val="ListLabel 13"/>
    <w:qFormat/>
    <w:rPr>
      <w:rFonts w:cs="Times New Roman"/>
    </w:rPr>
  </w:style>
  <w:style w:type="character" w:styleId="ListLabel14" w:customStyle="1">
    <w:name w:val="ListLabel 14"/>
    <w:qFormat/>
    <w:rPr>
      <w:rFonts w:cs="Times New Roman"/>
    </w:rPr>
  </w:style>
  <w:style w:type="character" w:styleId="ListLabel15" w:customStyle="1">
    <w:name w:val="ListLabel 15"/>
    <w:qFormat/>
    <w:rPr>
      <w:rFonts w:cs="Times New Roman"/>
    </w:rPr>
  </w:style>
  <w:style w:type="character" w:styleId="ListLabel16" w:customStyle="1">
    <w:name w:val="ListLabel 16"/>
    <w:qFormat/>
    <w:rPr>
      <w:rFonts w:cs="Times New Roman"/>
    </w:rPr>
  </w:style>
  <w:style w:type="character" w:styleId="ListLabel17" w:customStyle="1">
    <w:name w:val="ListLabel 17"/>
    <w:qFormat/>
    <w:rPr>
      <w:rFonts w:cs="Times New Roman"/>
    </w:rPr>
  </w:style>
  <w:style w:type="character" w:styleId="ListLabel18" w:customStyle="1">
    <w:name w:val="ListLabel 18"/>
    <w:qFormat/>
    <w:rPr>
      <w:rFonts w:cs="Times New Roman"/>
    </w:rPr>
  </w:style>
  <w:style w:type="character" w:styleId="ListLabel19" w:customStyle="1">
    <w:name w:val="ListLabel 19"/>
    <w:qFormat/>
    <w:rPr>
      <w:rFonts w:cs="Times New Roman"/>
    </w:rPr>
  </w:style>
  <w:style w:type="character" w:styleId="ListLabel20" w:customStyle="1">
    <w:name w:val="ListLabel 20"/>
    <w:qFormat/>
    <w:rPr>
      <w:rFonts w:cs="Times New Roman"/>
    </w:rPr>
  </w:style>
  <w:style w:type="character" w:styleId="ListLabel21" w:customStyle="1">
    <w:name w:val="ListLabel 21"/>
    <w:qFormat/>
    <w:rPr>
      <w:rFonts w:cs="Times New Roman"/>
    </w:rPr>
  </w:style>
  <w:style w:type="character" w:styleId="ListLabel22" w:customStyle="1">
    <w:name w:val="ListLabel 22"/>
    <w:qFormat/>
    <w:rPr>
      <w:rFonts w:cs="Times New Roman"/>
    </w:rPr>
  </w:style>
  <w:style w:type="character" w:styleId="ListLabel23" w:customStyle="1">
    <w:name w:val="ListLabel 23"/>
    <w:qFormat/>
    <w:rPr>
      <w:rFonts w:cs="Wingdings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cs="Wingdings"/>
    </w:rPr>
  </w:style>
  <w:style w:type="character" w:styleId="ListLabel27" w:customStyle="1">
    <w:name w:val="ListLabel 27"/>
    <w:qFormat/>
    <w:rPr>
      <w:rFonts w:cs="Symbol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Wingdings"/>
    </w:rPr>
  </w:style>
  <w:style w:type="character" w:styleId="ListLabel30" w:customStyle="1">
    <w:name w:val="ListLabel 30"/>
    <w:qFormat/>
    <w:rPr>
      <w:rFonts w:cs="Times New Roman"/>
      <w:sz w:val="24"/>
    </w:rPr>
  </w:style>
  <w:style w:type="character" w:styleId="ListLabel31" w:customStyle="1">
    <w:name w:val="ListLabel 31"/>
    <w:qFormat/>
    <w:rPr>
      <w:rFonts w:cs="Times New Roman"/>
      <w:sz w:val="24"/>
      <w:szCs w:val="24"/>
    </w:rPr>
  </w:style>
  <w:style w:type="character" w:styleId="ListLabel32" w:customStyle="1">
    <w:name w:val="ListLabel 32"/>
    <w:qFormat/>
    <w:rPr>
      <w:rFonts w:cs="Times New Roman"/>
    </w:rPr>
  </w:style>
  <w:style w:type="character" w:styleId="ListLabel33" w:customStyle="1">
    <w:name w:val="ListLabel 33"/>
    <w:qFormat/>
    <w:rPr>
      <w:rFonts w:cs="Times New Roman"/>
    </w:rPr>
  </w:style>
  <w:style w:type="character" w:styleId="ListLabel34" w:customStyle="1">
    <w:name w:val="ListLabel 34"/>
    <w:qFormat/>
    <w:rPr>
      <w:rFonts w:cs="Times New Roman"/>
    </w:rPr>
  </w:style>
  <w:style w:type="character" w:styleId="ListLabel35" w:customStyle="1">
    <w:name w:val="ListLabel 35"/>
    <w:qFormat/>
    <w:rPr>
      <w:rFonts w:cs="Times New Roman"/>
    </w:rPr>
  </w:style>
  <w:style w:type="character" w:styleId="ListLabel36" w:customStyle="1">
    <w:name w:val="ListLabel 36"/>
    <w:qFormat/>
    <w:rPr>
      <w:rFonts w:cs="Times New Roman"/>
    </w:rPr>
  </w:style>
  <w:style w:type="character" w:styleId="ListLabel37" w:customStyle="1">
    <w:name w:val="ListLabel 37"/>
    <w:qFormat/>
    <w:rPr>
      <w:rFonts w:cs="Times New Roman"/>
    </w:rPr>
  </w:style>
  <w:style w:type="character" w:styleId="ListLabel38" w:customStyle="1">
    <w:name w:val="ListLabel 38"/>
    <w:qFormat/>
    <w:rPr>
      <w:rFonts w:cs="Times New Roman"/>
    </w:rPr>
  </w:style>
  <w:style w:type="character" w:styleId="ListLabel39" w:customStyle="1">
    <w:name w:val="ListLabel 39"/>
    <w:qFormat/>
    <w:rPr>
      <w:rFonts w:cs="Times New Roman"/>
    </w:rPr>
  </w:style>
  <w:style w:type="character" w:styleId="ListLabel40" w:customStyle="1">
    <w:name w:val="ListLabel 40"/>
    <w:qFormat/>
    <w:rPr>
      <w:rFonts w:cs="Times New Roman"/>
    </w:rPr>
  </w:style>
  <w:style w:type="character" w:styleId="ListLabel41" w:customStyle="1">
    <w:name w:val="ListLabel 41"/>
    <w:qFormat/>
    <w:rPr>
      <w:rFonts w:cs="Times New Roman"/>
      <w:sz w:val="24"/>
      <w:szCs w:val="24"/>
    </w:rPr>
  </w:style>
  <w:style w:type="character" w:styleId="ListLabel42" w:customStyle="1">
    <w:name w:val="ListLabel 42"/>
    <w:qFormat/>
    <w:rPr>
      <w:rFonts w:cs="Times New Roman"/>
    </w:rPr>
  </w:style>
  <w:style w:type="character" w:styleId="ListLabel43" w:customStyle="1">
    <w:name w:val="ListLabel 43"/>
    <w:qFormat/>
    <w:rPr>
      <w:rFonts w:cs="Times New Roman"/>
    </w:rPr>
  </w:style>
  <w:style w:type="character" w:styleId="ListLabel44" w:customStyle="1">
    <w:name w:val="ListLabel 44"/>
    <w:qFormat/>
    <w:rPr>
      <w:rFonts w:cs="Times New Roman"/>
    </w:rPr>
  </w:style>
  <w:style w:type="character" w:styleId="ListLabel45" w:customStyle="1">
    <w:name w:val="ListLabel 45"/>
    <w:qFormat/>
    <w:rPr>
      <w:rFonts w:cs="Times New Roman"/>
    </w:rPr>
  </w:style>
  <w:style w:type="character" w:styleId="ListLabel46" w:customStyle="1">
    <w:name w:val="ListLabel 46"/>
    <w:qFormat/>
    <w:rPr>
      <w:rFonts w:cs="Times New Roman"/>
    </w:rPr>
  </w:style>
  <w:style w:type="character" w:styleId="ListLabel47" w:customStyle="1">
    <w:name w:val="ListLabel 47"/>
    <w:qFormat/>
    <w:rPr>
      <w:rFonts w:cs="Times New Roman"/>
    </w:rPr>
  </w:style>
  <w:style w:type="character" w:styleId="ListLabel48" w:customStyle="1">
    <w:name w:val="ListLabel 48"/>
    <w:qFormat/>
    <w:rPr>
      <w:rFonts w:cs="Times New Roman"/>
    </w:rPr>
  </w:style>
  <w:style w:type="character" w:styleId="ListLabel49" w:customStyle="1">
    <w:name w:val="ListLabel 49"/>
    <w:qFormat/>
    <w:rPr>
      <w:rFonts w:cs="Symbol"/>
    </w:rPr>
  </w:style>
  <w:style w:type="character" w:styleId="ListLabel50" w:customStyle="1">
    <w:name w:val="ListLabel 50"/>
    <w:qFormat/>
    <w:rPr>
      <w:rFonts w:cs="Times New Roman"/>
    </w:rPr>
  </w:style>
  <w:style w:type="character" w:styleId="ListLabel51" w:customStyle="1">
    <w:name w:val="ListLabel 51"/>
    <w:qFormat/>
    <w:rPr>
      <w:rFonts w:cs="Wingdings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Courier New"/>
    </w:rPr>
  </w:style>
  <w:style w:type="character" w:styleId="ListLabel54" w:customStyle="1">
    <w:name w:val="ListLabel 54"/>
    <w:qFormat/>
    <w:rPr>
      <w:rFonts w:cs="Wingdings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Courier New"/>
    </w:rPr>
  </w:style>
  <w:style w:type="character" w:styleId="ListLabel57" w:customStyle="1">
    <w:name w:val="ListLabel 57"/>
    <w:qFormat/>
    <w:rPr>
      <w:rFonts w:cs="Wingdings"/>
    </w:rPr>
  </w:style>
  <w:style w:type="character" w:styleId="ListLabel58" w:customStyle="1">
    <w:name w:val="ListLabel 58"/>
    <w:qFormat/>
    <w:rPr>
      <w:rFonts w:cs="Times New Roman"/>
    </w:rPr>
  </w:style>
  <w:style w:type="character" w:styleId="ListLabel59" w:customStyle="1">
    <w:name w:val="ListLabel 59"/>
    <w:qFormat/>
    <w:rPr>
      <w:rFonts w:cs="Times New Roman"/>
    </w:rPr>
  </w:style>
  <w:style w:type="character" w:styleId="ListLabel60" w:customStyle="1">
    <w:name w:val="ListLabel 60"/>
    <w:qFormat/>
    <w:rPr>
      <w:rFonts w:cs="Wingdings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Courier New"/>
    </w:rPr>
  </w:style>
  <w:style w:type="character" w:styleId="ListLabel63" w:customStyle="1">
    <w:name w:val="ListLabel 63"/>
    <w:qFormat/>
    <w:rPr>
      <w:rFonts w:cs="Wingdings"/>
    </w:rPr>
  </w:style>
  <w:style w:type="character" w:styleId="ListLabel64" w:customStyle="1">
    <w:name w:val="ListLabel 64"/>
    <w:qFormat/>
    <w:rPr>
      <w:rFonts w:cs="Symbol"/>
    </w:rPr>
  </w:style>
  <w:style w:type="character" w:styleId="ListLabel65" w:customStyle="1">
    <w:name w:val="ListLabel 65"/>
    <w:qFormat/>
    <w:rPr>
      <w:rFonts w:cs="Courier New"/>
    </w:rPr>
  </w:style>
  <w:style w:type="character" w:styleId="ListLabel66" w:customStyle="1">
    <w:name w:val="ListLabel 66"/>
    <w:qFormat/>
    <w:rPr>
      <w:rFonts w:cs="Wingdings"/>
    </w:rPr>
  </w:style>
  <w:style w:type="character" w:styleId="ListLabel67" w:customStyle="1">
    <w:name w:val="ListLabel 67"/>
    <w:qFormat/>
    <w:rPr>
      <w:rFonts w:cs="Times New Roman"/>
    </w:rPr>
  </w:style>
  <w:style w:type="character" w:styleId="ListLabel68" w:customStyle="1">
    <w:name w:val="ListLabel 68"/>
    <w:qFormat/>
    <w:rPr>
      <w:rFonts w:cs="Times New Roman"/>
      <w:color w:val="000000"/>
    </w:rPr>
  </w:style>
  <w:style w:type="character" w:styleId="ListLabel69" w:customStyle="1">
    <w:name w:val="ListLabel 69"/>
    <w:qFormat/>
    <w:rPr>
      <w:rFonts w:cs="Times New Roman"/>
      <w:b w:val="false"/>
      <w:lang w:val="de-DE"/>
    </w:rPr>
  </w:style>
  <w:style w:type="character" w:styleId="ListLabel70" w:customStyle="1">
    <w:name w:val="ListLabel 70"/>
    <w:qFormat/>
    <w:rPr>
      <w:rFonts w:cs="Times New Roman"/>
    </w:rPr>
  </w:style>
  <w:style w:type="character" w:styleId="ListLabel71" w:customStyle="1">
    <w:name w:val="ListLabel 71"/>
    <w:qFormat/>
    <w:rPr>
      <w:rFonts w:cs="Courier New"/>
    </w:rPr>
  </w:style>
  <w:style w:type="character" w:styleId="ListLabel72" w:customStyle="1">
    <w:name w:val="ListLabel 72"/>
    <w:qFormat/>
    <w:rPr>
      <w:rFonts w:cs="Courier New"/>
    </w:rPr>
  </w:style>
  <w:style w:type="character" w:styleId="ListLabel73" w:customStyle="1">
    <w:name w:val="ListLabel 73"/>
    <w:qFormat/>
    <w:rPr>
      <w:rFonts w:cs="Courier New"/>
    </w:rPr>
  </w:style>
  <w:style w:type="character" w:styleId="ListLabel74" w:customStyle="1">
    <w:name w:val="ListLabel 74"/>
    <w:qFormat/>
    <w:rPr>
      <w:rFonts w:cs="Times New Roman"/>
    </w:rPr>
  </w:style>
  <w:style w:type="character" w:styleId="ListLabel75" w:customStyle="1">
    <w:name w:val="ListLabel 75"/>
    <w:qFormat/>
    <w:rPr>
      <w:rFonts w:cs="Courier New"/>
    </w:rPr>
  </w:style>
  <w:style w:type="character" w:styleId="ListLabel76" w:customStyle="1">
    <w:name w:val="ListLabel 76"/>
    <w:qFormat/>
    <w:rPr>
      <w:rFonts w:cs="Courier New"/>
    </w:rPr>
  </w:style>
  <w:style w:type="character" w:styleId="ListLabel77" w:customStyle="1">
    <w:name w:val="ListLabel 77"/>
    <w:qFormat/>
    <w:rPr>
      <w:rFonts w:cs="Courier New"/>
    </w:rPr>
  </w:style>
  <w:style w:type="character" w:styleId="ListLabel78" w:customStyle="1">
    <w:name w:val="ListLabel 78"/>
    <w:qFormat/>
    <w:rPr>
      <w:rFonts w:cs="Times New Roman"/>
    </w:rPr>
  </w:style>
  <w:style w:type="character" w:styleId="ListLabel79" w:customStyle="1">
    <w:name w:val="ListLabel 79"/>
    <w:qFormat/>
    <w:rPr>
      <w:rFonts w:cs="Courier New"/>
    </w:rPr>
  </w:style>
  <w:style w:type="character" w:styleId="ListLabel80" w:customStyle="1">
    <w:name w:val="ListLabel 80"/>
    <w:qFormat/>
    <w:rPr>
      <w:rFonts w:cs="Courier New"/>
    </w:rPr>
  </w:style>
  <w:style w:type="character" w:styleId="ListLabel81" w:customStyle="1">
    <w:name w:val="ListLabel 81"/>
    <w:qFormat/>
    <w:rPr>
      <w:rFonts w:cs="Courier New"/>
    </w:rPr>
  </w:style>
  <w:style w:type="character" w:styleId="ListLabel82" w:customStyle="1">
    <w:name w:val="ListLabel 82"/>
    <w:qFormat/>
    <w:rPr>
      <w:rFonts w:cs="Times New Roman"/>
    </w:rPr>
  </w:style>
  <w:style w:type="character" w:styleId="ListLabel83" w:customStyle="1">
    <w:name w:val="ListLabel 83"/>
    <w:qFormat/>
    <w:rPr>
      <w:rFonts w:cs="Times New Roman"/>
      <w:sz w:val="24"/>
      <w:szCs w:val="24"/>
    </w:rPr>
  </w:style>
  <w:style w:type="character" w:styleId="ListLabel84" w:customStyle="1">
    <w:name w:val="ListLabel 84"/>
    <w:qFormat/>
    <w:rPr>
      <w:rFonts w:cs="Times New Roman"/>
    </w:rPr>
  </w:style>
  <w:style w:type="character" w:styleId="ListLabel85" w:customStyle="1">
    <w:name w:val="ListLabel 85"/>
    <w:qFormat/>
    <w:rPr>
      <w:rFonts w:cs="Times New Roman"/>
    </w:rPr>
  </w:style>
  <w:style w:type="character" w:styleId="ListLabel86" w:customStyle="1">
    <w:name w:val="ListLabel 86"/>
    <w:qFormat/>
    <w:rPr>
      <w:rFonts w:cs="Times New Roman"/>
    </w:rPr>
  </w:style>
  <w:style w:type="character" w:styleId="ListLabel87" w:customStyle="1">
    <w:name w:val="ListLabel 87"/>
    <w:qFormat/>
    <w:rPr>
      <w:rFonts w:cs="Times New Roman"/>
    </w:rPr>
  </w:style>
  <w:style w:type="character" w:styleId="ListLabel88" w:customStyle="1">
    <w:name w:val="ListLabel 88"/>
    <w:qFormat/>
    <w:rPr>
      <w:rFonts w:cs="Times New Roman"/>
    </w:rPr>
  </w:style>
  <w:style w:type="character" w:styleId="ListLabel89" w:customStyle="1">
    <w:name w:val="ListLabel 89"/>
    <w:qFormat/>
    <w:rPr>
      <w:rFonts w:cs="Times New Roman"/>
    </w:rPr>
  </w:style>
  <w:style w:type="character" w:styleId="ListLabel90" w:customStyle="1">
    <w:name w:val="ListLabel 90"/>
    <w:qFormat/>
    <w:rPr>
      <w:rFonts w:cs="Times New Roman"/>
    </w:rPr>
  </w:style>
  <w:style w:type="character" w:styleId="ListLabel91" w:customStyle="1">
    <w:name w:val="ListLabel 91"/>
    <w:qFormat/>
    <w:rPr>
      <w:bCs/>
      <w:sz w:val="20"/>
    </w:rPr>
  </w:style>
  <w:style w:type="character" w:styleId="ListLabel92" w:customStyle="1">
    <w:name w:val="ListLabel 92"/>
    <w:qFormat/>
    <w:rPr>
      <w:rFonts w:cs="Times New Roman"/>
      <w:sz w:val="24"/>
    </w:rPr>
  </w:style>
  <w:style w:type="character" w:styleId="ListLabel93" w:customStyle="1">
    <w:name w:val="ListLabel 93"/>
    <w:qFormat/>
    <w:rPr>
      <w:rFonts w:cs="Times New Roman"/>
      <w:sz w:val="24"/>
      <w:szCs w:val="24"/>
    </w:rPr>
  </w:style>
  <w:style w:type="character" w:styleId="ListLabel94" w:customStyle="1">
    <w:name w:val="ListLabel 94"/>
    <w:qFormat/>
    <w:rPr>
      <w:rFonts w:cs="Times New Roman"/>
    </w:rPr>
  </w:style>
  <w:style w:type="character" w:styleId="ListLabel95" w:customStyle="1">
    <w:name w:val="ListLabel 95"/>
    <w:qFormat/>
    <w:rPr>
      <w:rFonts w:cs="Times New Roman"/>
    </w:rPr>
  </w:style>
  <w:style w:type="character" w:styleId="ListLabel96" w:customStyle="1">
    <w:name w:val="ListLabel 96"/>
    <w:qFormat/>
    <w:rPr>
      <w:rFonts w:cs="Times New Roman"/>
    </w:rPr>
  </w:style>
  <w:style w:type="character" w:styleId="ListLabel97" w:customStyle="1">
    <w:name w:val="ListLabel 97"/>
    <w:qFormat/>
    <w:rPr>
      <w:rFonts w:cs="Times New Roman"/>
    </w:rPr>
  </w:style>
  <w:style w:type="character" w:styleId="ListLabel98" w:customStyle="1">
    <w:name w:val="ListLabel 98"/>
    <w:qFormat/>
    <w:rPr>
      <w:rFonts w:cs="Times New Roman"/>
    </w:rPr>
  </w:style>
  <w:style w:type="character" w:styleId="ListLabel99" w:customStyle="1">
    <w:name w:val="ListLabel 99"/>
    <w:qFormat/>
    <w:rPr>
      <w:rFonts w:cs="Times New Roman"/>
    </w:rPr>
  </w:style>
  <w:style w:type="character" w:styleId="ListLabel100" w:customStyle="1">
    <w:name w:val="ListLabel 100"/>
    <w:qFormat/>
    <w:rPr>
      <w:rFonts w:cs="Times New Roman"/>
    </w:rPr>
  </w:style>
  <w:style w:type="character" w:styleId="ListLabel101" w:customStyle="1">
    <w:name w:val="ListLabel 101"/>
    <w:qFormat/>
    <w:rPr>
      <w:rFonts w:cs="Times New Roman"/>
    </w:rPr>
  </w:style>
  <w:style w:type="character" w:styleId="ListLabel102" w:customStyle="1">
    <w:name w:val="ListLabel 102"/>
    <w:qFormat/>
    <w:rPr>
      <w:rFonts w:cs="Times New Roman"/>
      <w:sz w:val="24"/>
    </w:rPr>
  </w:style>
  <w:style w:type="character" w:styleId="ListLabel103" w:customStyle="1">
    <w:name w:val="ListLabel 103"/>
    <w:qFormat/>
    <w:rPr>
      <w:rFonts w:cs="Times New Roman"/>
      <w:sz w:val="24"/>
      <w:szCs w:val="24"/>
    </w:rPr>
  </w:style>
  <w:style w:type="character" w:styleId="ListLabel104" w:customStyle="1">
    <w:name w:val="ListLabel 104"/>
    <w:qFormat/>
    <w:rPr>
      <w:rFonts w:cs="Times New Roman"/>
    </w:rPr>
  </w:style>
  <w:style w:type="character" w:styleId="ListLabel105" w:customStyle="1">
    <w:name w:val="ListLabel 105"/>
    <w:qFormat/>
    <w:rPr>
      <w:rFonts w:cs="Times New Roman"/>
    </w:rPr>
  </w:style>
  <w:style w:type="character" w:styleId="ListLabel106" w:customStyle="1">
    <w:name w:val="ListLabel 106"/>
    <w:qFormat/>
    <w:rPr>
      <w:rFonts w:cs="Times New Roman"/>
    </w:rPr>
  </w:style>
  <w:style w:type="character" w:styleId="ListLabel107" w:customStyle="1">
    <w:name w:val="ListLabel 107"/>
    <w:qFormat/>
    <w:rPr>
      <w:rFonts w:cs="Times New Roman"/>
    </w:rPr>
  </w:style>
  <w:style w:type="character" w:styleId="ListLabel108" w:customStyle="1">
    <w:name w:val="ListLabel 108"/>
    <w:qFormat/>
    <w:rPr>
      <w:rFonts w:cs="Times New Roman"/>
    </w:rPr>
  </w:style>
  <w:style w:type="character" w:styleId="ListLabel109" w:customStyle="1">
    <w:name w:val="ListLabel 109"/>
    <w:qFormat/>
    <w:rPr>
      <w:rFonts w:cs="Times New Roman"/>
    </w:rPr>
  </w:style>
  <w:style w:type="character" w:styleId="ListLabel110" w:customStyle="1">
    <w:name w:val="ListLabel 110"/>
    <w:qFormat/>
    <w:rPr>
      <w:rFonts w:cs="Times New Roman"/>
    </w:rPr>
  </w:style>
  <w:style w:type="character" w:styleId="ListLabel111" w:customStyle="1">
    <w:name w:val="ListLabel 111"/>
    <w:qFormat/>
    <w:rPr>
      <w:rFonts w:cs="Times New Roman"/>
    </w:rPr>
  </w:style>
  <w:style w:type="character" w:styleId="ListLabel112" w:customStyle="1">
    <w:name w:val="ListLabel 112"/>
    <w:qFormat/>
    <w:rPr>
      <w:rFonts w:cs="Times New Roman"/>
    </w:rPr>
  </w:style>
  <w:style w:type="character" w:styleId="ListLabel113" w:customStyle="1">
    <w:name w:val="ListLabel 113"/>
    <w:qFormat/>
    <w:rPr>
      <w:rFonts w:cs="Times New Roman"/>
      <w:sz w:val="24"/>
      <w:szCs w:val="24"/>
    </w:rPr>
  </w:style>
  <w:style w:type="character" w:styleId="ListLabel114" w:customStyle="1">
    <w:name w:val="ListLabel 114"/>
    <w:qFormat/>
    <w:rPr>
      <w:rFonts w:cs="Times New Roman"/>
    </w:rPr>
  </w:style>
  <w:style w:type="character" w:styleId="ListLabel115" w:customStyle="1">
    <w:name w:val="ListLabel 115"/>
    <w:qFormat/>
    <w:rPr>
      <w:rFonts w:cs="Times New Roman"/>
    </w:rPr>
  </w:style>
  <w:style w:type="character" w:styleId="ListLabel116" w:customStyle="1">
    <w:name w:val="ListLabel 116"/>
    <w:qFormat/>
    <w:rPr>
      <w:rFonts w:cs="Times New Roman"/>
    </w:rPr>
  </w:style>
  <w:style w:type="character" w:styleId="ListLabel117" w:customStyle="1">
    <w:name w:val="ListLabel 117"/>
    <w:qFormat/>
    <w:rPr>
      <w:rFonts w:cs="Times New Roman"/>
    </w:rPr>
  </w:style>
  <w:style w:type="character" w:styleId="ListLabel118" w:customStyle="1">
    <w:name w:val="ListLabel 118"/>
    <w:qFormat/>
    <w:rPr>
      <w:rFonts w:cs="Times New Roman"/>
    </w:rPr>
  </w:style>
  <w:style w:type="character" w:styleId="ListLabel119" w:customStyle="1">
    <w:name w:val="ListLabel 119"/>
    <w:qFormat/>
    <w:rPr>
      <w:rFonts w:cs="Times New Roman"/>
    </w:rPr>
  </w:style>
  <w:style w:type="character" w:styleId="ListLabel120" w:customStyle="1">
    <w:name w:val="ListLabel 120"/>
    <w:qFormat/>
    <w:rPr>
      <w:rFonts w:cs="Times New Roman"/>
    </w:rPr>
  </w:style>
  <w:style w:type="character" w:styleId="ListLabel121" w:customStyle="1">
    <w:name w:val="ListLabel 121"/>
    <w:qFormat/>
    <w:rPr>
      <w:rFonts w:cs="Symbol"/>
    </w:rPr>
  </w:style>
  <w:style w:type="character" w:styleId="ListLabel122" w:customStyle="1">
    <w:name w:val="ListLabel 122"/>
    <w:qFormat/>
    <w:rPr>
      <w:rFonts w:cs="Times New Roman"/>
    </w:rPr>
  </w:style>
  <w:style w:type="character" w:styleId="ListLabel123" w:customStyle="1">
    <w:name w:val="ListLabel 123"/>
    <w:qFormat/>
    <w:rPr>
      <w:rFonts w:cs="Wingdings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Courier New"/>
    </w:rPr>
  </w:style>
  <w:style w:type="character" w:styleId="ListLabel126" w:customStyle="1">
    <w:name w:val="ListLabel 126"/>
    <w:qFormat/>
    <w:rPr>
      <w:rFonts w:cs="Wingdings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Courier New"/>
    </w:rPr>
  </w:style>
  <w:style w:type="character" w:styleId="ListLabel129" w:customStyle="1">
    <w:name w:val="ListLabel 129"/>
    <w:qFormat/>
    <w:rPr>
      <w:rFonts w:cs="Wingdings"/>
    </w:rPr>
  </w:style>
  <w:style w:type="character" w:styleId="ListLabel130" w:customStyle="1">
    <w:name w:val="ListLabel 130"/>
    <w:qFormat/>
    <w:rPr>
      <w:rFonts w:cs="Times New Roman"/>
    </w:rPr>
  </w:style>
  <w:style w:type="character" w:styleId="ListLabel131" w:customStyle="1">
    <w:name w:val="ListLabel 131"/>
    <w:qFormat/>
    <w:rPr>
      <w:rFonts w:cs="Times New Roman"/>
    </w:rPr>
  </w:style>
  <w:style w:type="character" w:styleId="ListLabel132" w:customStyle="1">
    <w:name w:val="ListLabel 132"/>
    <w:qFormat/>
    <w:rPr>
      <w:rFonts w:cs="Wingdings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Courier New"/>
    </w:rPr>
  </w:style>
  <w:style w:type="character" w:styleId="ListLabel135" w:customStyle="1">
    <w:name w:val="ListLabel 135"/>
    <w:qFormat/>
    <w:rPr>
      <w:rFonts w:cs="Wingdings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Courier New"/>
    </w:rPr>
  </w:style>
  <w:style w:type="character" w:styleId="ListLabel138" w:customStyle="1">
    <w:name w:val="ListLabel 138"/>
    <w:qFormat/>
    <w:rPr>
      <w:rFonts w:cs="Wingdings"/>
    </w:rPr>
  </w:style>
  <w:style w:type="character" w:styleId="ListLabel139" w:customStyle="1">
    <w:name w:val="ListLabel 139"/>
    <w:qFormat/>
    <w:rPr>
      <w:rFonts w:cs="Times New Roman"/>
    </w:rPr>
  </w:style>
  <w:style w:type="character" w:styleId="ListLabel140" w:customStyle="1">
    <w:name w:val="ListLabel 140"/>
    <w:qFormat/>
    <w:rPr>
      <w:rFonts w:cs="Times New Roman"/>
      <w:color w:val="000000"/>
    </w:rPr>
  </w:style>
  <w:style w:type="character" w:styleId="ListLabel141" w:customStyle="1">
    <w:name w:val="ListLabel 141"/>
    <w:qFormat/>
    <w:rPr>
      <w:rFonts w:cs="Times New Roman"/>
      <w:b w:val="false"/>
      <w:lang w:val="de-DE"/>
    </w:rPr>
  </w:style>
  <w:style w:type="character" w:styleId="ListLabel142" w:customStyle="1">
    <w:name w:val="ListLabel 142"/>
    <w:qFormat/>
    <w:rPr>
      <w:rFonts w:cs="Times New Roman"/>
    </w:rPr>
  </w:style>
  <w:style w:type="character" w:styleId="ListLabel143" w:customStyle="1">
    <w:name w:val="ListLabel 143"/>
    <w:qFormat/>
    <w:rPr>
      <w:rFonts w:cs="Courier New"/>
    </w:rPr>
  </w:style>
  <w:style w:type="character" w:styleId="ListLabel144" w:customStyle="1">
    <w:name w:val="ListLabel 144"/>
    <w:qFormat/>
    <w:rPr>
      <w:rFonts w:cs="Wingdings"/>
    </w:rPr>
  </w:style>
  <w:style w:type="character" w:styleId="ListLabel145" w:customStyle="1">
    <w:name w:val="ListLabel 145"/>
    <w:qFormat/>
    <w:rPr>
      <w:rFonts w:cs="Symbol"/>
    </w:rPr>
  </w:style>
  <w:style w:type="character" w:styleId="ListLabel146" w:customStyle="1">
    <w:name w:val="ListLabel 146"/>
    <w:qFormat/>
    <w:rPr>
      <w:rFonts w:cs="Courier New"/>
    </w:rPr>
  </w:style>
  <w:style w:type="character" w:styleId="ListLabel147" w:customStyle="1">
    <w:name w:val="ListLabel 147"/>
    <w:qFormat/>
    <w:rPr>
      <w:rFonts w:cs="Wingdings"/>
    </w:rPr>
  </w:style>
  <w:style w:type="character" w:styleId="ListLabel148" w:customStyle="1">
    <w:name w:val="ListLabel 148"/>
    <w:qFormat/>
    <w:rPr>
      <w:rFonts w:cs="Symbol"/>
    </w:rPr>
  </w:style>
  <w:style w:type="character" w:styleId="ListLabel149" w:customStyle="1">
    <w:name w:val="ListLabel 149"/>
    <w:qFormat/>
    <w:rPr>
      <w:rFonts w:cs="Courier New"/>
    </w:rPr>
  </w:style>
  <w:style w:type="character" w:styleId="ListLabel150" w:customStyle="1">
    <w:name w:val="ListLabel 150"/>
    <w:qFormat/>
    <w:rPr>
      <w:rFonts w:cs="Wingdings"/>
    </w:rPr>
  </w:style>
  <w:style w:type="character" w:styleId="ListLabel151" w:customStyle="1">
    <w:name w:val="ListLabel 151"/>
    <w:qFormat/>
    <w:rPr>
      <w:rFonts w:cs="Times New Roman"/>
    </w:rPr>
  </w:style>
  <w:style w:type="character" w:styleId="ListLabel152" w:customStyle="1">
    <w:name w:val="ListLabel 152"/>
    <w:qFormat/>
    <w:rPr>
      <w:rFonts w:cs="Times New Roman"/>
      <w:sz w:val="24"/>
      <w:szCs w:val="24"/>
    </w:rPr>
  </w:style>
  <w:style w:type="character" w:styleId="ListLabel153" w:customStyle="1">
    <w:name w:val="ListLabel 153"/>
    <w:qFormat/>
    <w:rPr>
      <w:rFonts w:cs="Times New Roman"/>
    </w:rPr>
  </w:style>
  <w:style w:type="character" w:styleId="ListLabel154" w:customStyle="1">
    <w:name w:val="ListLabel 154"/>
    <w:qFormat/>
    <w:rPr>
      <w:rFonts w:cs="Times New Roman"/>
    </w:rPr>
  </w:style>
  <w:style w:type="character" w:styleId="ListLabel155" w:customStyle="1">
    <w:name w:val="ListLabel 155"/>
    <w:qFormat/>
    <w:rPr>
      <w:rFonts w:cs="Times New Roman"/>
    </w:rPr>
  </w:style>
  <w:style w:type="character" w:styleId="ListLabel156" w:customStyle="1">
    <w:name w:val="ListLabel 156"/>
    <w:qFormat/>
    <w:rPr>
      <w:rFonts w:cs="Times New Roman"/>
    </w:rPr>
  </w:style>
  <w:style w:type="character" w:styleId="ListLabel157" w:customStyle="1">
    <w:name w:val="ListLabel 157"/>
    <w:qFormat/>
    <w:rPr>
      <w:rFonts w:cs="Times New Roman"/>
    </w:rPr>
  </w:style>
  <w:style w:type="character" w:styleId="ListLabel158" w:customStyle="1">
    <w:name w:val="ListLabel 158"/>
    <w:qFormat/>
    <w:rPr>
      <w:rFonts w:cs="Times New Roman"/>
    </w:rPr>
  </w:style>
  <w:style w:type="character" w:styleId="ListLabel159" w:customStyle="1">
    <w:name w:val="ListLabel 159"/>
    <w:qFormat/>
    <w:rPr>
      <w:rFonts w:cs="Times New Roman"/>
    </w:rPr>
  </w:style>
  <w:style w:type="character" w:styleId="ListLabel160" w:customStyle="1">
    <w:name w:val="ListLabel 160"/>
    <w:qFormat/>
    <w:rPr>
      <w:bCs/>
      <w:sz w:val="20"/>
    </w:rPr>
  </w:style>
  <w:style w:type="character" w:styleId="ListLabel161" w:customStyle="1">
    <w:name w:val="ListLabel 161"/>
    <w:qFormat/>
    <w:rPr>
      <w:rFonts w:cs="Times New Roman"/>
      <w:sz w:val="24"/>
    </w:rPr>
  </w:style>
  <w:style w:type="character" w:styleId="ListLabel162" w:customStyle="1">
    <w:name w:val="ListLabel 162"/>
    <w:qFormat/>
    <w:rPr>
      <w:rFonts w:cs="Times New Roman"/>
      <w:sz w:val="24"/>
      <w:szCs w:val="24"/>
    </w:rPr>
  </w:style>
  <w:style w:type="character" w:styleId="ListLabel163" w:customStyle="1">
    <w:name w:val="ListLabel 163"/>
    <w:qFormat/>
    <w:rPr>
      <w:rFonts w:cs="Times New Roman"/>
    </w:rPr>
  </w:style>
  <w:style w:type="character" w:styleId="ListLabel164" w:customStyle="1">
    <w:name w:val="ListLabel 164"/>
    <w:qFormat/>
    <w:rPr>
      <w:rFonts w:cs="Times New Roman"/>
    </w:rPr>
  </w:style>
  <w:style w:type="character" w:styleId="ListLabel165" w:customStyle="1">
    <w:name w:val="ListLabel 165"/>
    <w:qFormat/>
    <w:rPr>
      <w:rFonts w:cs="Times New Roman"/>
    </w:rPr>
  </w:style>
  <w:style w:type="character" w:styleId="ListLabel166" w:customStyle="1">
    <w:name w:val="ListLabel 166"/>
    <w:qFormat/>
    <w:rPr>
      <w:rFonts w:cs="Times New Roman"/>
    </w:rPr>
  </w:style>
  <w:style w:type="character" w:styleId="ListLabel167" w:customStyle="1">
    <w:name w:val="ListLabel 167"/>
    <w:qFormat/>
    <w:rPr>
      <w:rFonts w:cs="Times New Roman"/>
    </w:rPr>
  </w:style>
  <w:style w:type="character" w:styleId="ListLabel168" w:customStyle="1">
    <w:name w:val="ListLabel 168"/>
    <w:qFormat/>
    <w:rPr>
      <w:rFonts w:cs="Times New Roman"/>
    </w:rPr>
  </w:style>
  <w:style w:type="character" w:styleId="ListLabel169" w:customStyle="1">
    <w:name w:val="ListLabel 169"/>
    <w:qFormat/>
    <w:rPr>
      <w:rFonts w:cs="Times New Roman"/>
    </w:rPr>
  </w:style>
  <w:style w:type="character" w:styleId="ListLabel170" w:customStyle="1">
    <w:name w:val="ListLabel 170"/>
    <w:qFormat/>
    <w:rPr>
      <w:rFonts w:cs="Times New Roman"/>
    </w:rPr>
  </w:style>
  <w:style w:type="character" w:styleId="ListLabel171" w:customStyle="1">
    <w:name w:val="ListLabel 171"/>
    <w:qFormat/>
    <w:rPr>
      <w:rFonts w:cs="Times New Roman"/>
      <w:sz w:val="24"/>
    </w:rPr>
  </w:style>
  <w:style w:type="character" w:styleId="ListLabel172" w:customStyle="1">
    <w:name w:val="ListLabel 172"/>
    <w:qFormat/>
    <w:rPr>
      <w:rFonts w:cs="Times New Roman"/>
      <w:sz w:val="24"/>
      <w:szCs w:val="24"/>
    </w:rPr>
  </w:style>
  <w:style w:type="character" w:styleId="ListLabel173" w:customStyle="1">
    <w:name w:val="ListLabel 173"/>
    <w:qFormat/>
    <w:rPr>
      <w:rFonts w:cs="Times New Roman"/>
    </w:rPr>
  </w:style>
  <w:style w:type="character" w:styleId="ListLabel174" w:customStyle="1">
    <w:name w:val="ListLabel 174"/>
    <w:qFormat/>
    <w:rPr>
      <w:rFonts w:cs="Times New Roman"/>
    </w:rPr>
  </w:style>
  <w:style w:type="character" w:styleId="ListLabel175" w:customStyle="1">
    <w:name w:val="ListLabel 175"/>
    <w:qFormat/>
    <w:rPr>
      <w:rFonts w:cs="Times New Roman"/>
    </w:rPr>
  </w:style>
  <w:style w:type="character" w:styleId="ListLabel176" w:customStyle="1">
    <w:name w:val="ListLabel 176"/>
    <w:qFormat/>
    <w:rPr>
      <w:rFonts w:cs="Times New Roman"/>
    </w:rPr>
  </w:style>
  <w:style w:type="character" w:styleId="ListLabel177" w:customStyle="1">
    <w:name w:val="ListLabel 177"/>
    <w:qFormat/>
    <w:rPr>
      <w:rFonts w:cs="Times New Roman"/>
    </w:rPr>
  </w:style>
  <w:style w:type="character" w:styleId="ListLabel178" w:customStyle="1">
    <w:name w:val="ListLabel 178"/>
    <w:qFormat/>
    <w:rPr>
      <w:rFonts w:cs="Times New Roman"/>
    </w:rPr>
  </w:style>
  <w:style w:type="character" w:styleId="ListLabel179" w:customStyle="1">
    <w:name w:val="ListLabel 179"/>
    <w:qFormat/>
    <w:rPr>
      <w:rFonts w:cs="Times New Roman"/>
    </w:rPr>
  </w:style>
  <w:style w:type="character" w:styleId="ListLabel180" w:customStyle="1">
    <w:name w:val="ListLabel 180"/>
    <w:qFormat/>
    <w:rPr>
      <w:rFonts w:cs="Times New Roman"/>
    </w:rPr>
  </w:style>
  <w:style w:type="character" w:styleId="ListLabel181" w:customStyle="1">
    <w:name w:val="ListLabel 181"/>
    <w:qFormat/>
    <w:rPr>
      <w:rFonts w:cs="Times New Roman"/>
    </w:rPr>
  </w:style>
  <w:style w:type="character" w:styleId="ListLabel182" w:customStyle="1">
    <w:name w:val="ListLabel 182"/>
    <w:qFormat/>
    <w:rPr>
      <w:rFonts w:cs="Times New Roman"/>
      <w:sz w:val="24"/>
      <w:szCs w:val="24"/>
    </w:rPr>
  </w:style>
  <w:style w:type="character" w:styleId="ListLabel183" w:customStyle="1">
    <w:name w:val="ListLabel 183"/>
    <w:qFormat/>
    <w:rPr>
      <w:rFonts w:cs="Times New Roman"/>
    </w:rPr>
  </w:style>
  <w:style w:type="character" w:styleId="ListLabel184" w:customStyle="1">
    <w:name w:val="ListLabel 184"/>
    <w:qFormat/>
    <w:rPr>
      <w:rFonts w:cs="Times New Roman"/>
    </w:rPr>
  </w:style>
  <w:style w:type="character" w:styleId="ListLabel185" w:customStyle="1">
    <w:name w:val="ListLabel 185"/>
    <w:qFormat/>
    <w:rPr>
      <w:rFonts w:cs="Times New Roman"/>
    </w:rPr>
  </w:style>
  <w:style w:type="character" w:styleId="ListLabel186" w:customStyle="1">
    <w:name w:val="ListLabel 186"/>
    <w:qFormat/>
    <w:rPr>
      <w:rFonts w:cs="Times New Roman"/>
    </w:rPr>
  </w:style>
  <w:style w:type="character" w:styleId="ListLabel187" w:customStyle="1">
    <w:name w:val="ListLabel 187"/>
    <w:qFormat/>
    <w:rPr>
      <w:rFonts w:cs="Times New Roman"/>
    </w:rPr>
  </w:style>
  <w:style w:type="character" w:styleId="ListLabel188" w:customStyle="1">
    <w:name w:val="ListLabel 188"/>
    <w:qFormat/>
    <w:rPr>
      <w:rFonts w:cs="Times New Roman"/>
    </w:rPr>
  </w:style>
  <w:style w:type="character" w:styleId="ListLabel189" w:customStyle="1">
    <w:name w:val="ListLabel 189"/>
    <w:qFormat/>
    <w:rPr>
      <w:rFonts w:cs="Times New Roman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Times New Roman"/>
    </w:rPr>
  </w:style>
  <w:style w:type="character" w:styleId="ListLabel192" w:customStyle="1">
    <w:name w:val="ListLabel 192"/>
    <w:qFormat/>
    <w:rPr>
      <w:rFonts w:cs="Wingdings"/>
    </w:rPr>
  </w:style>
  <w:style w:type="character" w:styleId="ListLabel193" w:customStyle="1">
    <w:name w:val="ListLabel 193"/>
    <w:qFormat/>
    <w:rPr>
      <w:rFonts w:cs="Symbol"/>
    </w:rPr>
  </w:style>
  <w:style w:type="character" w:styleId="ListLabel194" w:customStyle="1">
    <w:name w:val="ListLabel 194"/>
    <w:qFormat/>
    <w:rPr>
      <w:rFonts w:cs="Courier New"/>
    </w:rPr>
  </w:style>
  <w:style w:type="character" w:styleId="ListLabel195" w:customStyle="1">
    <w:name w:val="ListLabel 195"/>
    <w:qFormat/>
    <w:rPr>
      <w:rFonts w:cs="Wingdings"/>
    </w:rPr>
  </w:style>
  <w:style w:type="character" w:styleId="ListLabel196" w:customStyle="1">
    <w:name w:val="ListLabel 196"/>
    <w:qFormat/>
    <w:rPr>
      <w:rFonts w:cs="Symbol"/>
    </w:rPr>
  </w:style>
  <w:style w:type="character" w:styleId="ListLabel197" w:customStyle="1">
    <w:name w:val="ListLabel 197"/>
    <w:qFormat/>
    <w:rPr>
      <w:rFonts w:cs="Courier New"/>
    </w:rPr>
  </w:style>
  <w:style w:type="character" w:styleId="ListLabel198" w:customStyle="1">
    <w:name w:val="ListLabel 198"/>
    <w:qFormat/>
    <w:rPr>
      <w:rFonts w:cs="Wingdings"/>
    </w:rPr>
  </w:style>
  <w:style w:type="character" w:styleId="ListLabel199" w:customStyle="1">
    <w:name w:val="ListLabel 199"/>
    <w:qFormat/>
    <w:rPr>
      <w:rFonts w:cs="Times New Roman"/>
    </w:rPr>
  </w:style>
  <w:style w:type="character" w:styleId="ListLabel200" w:customStyle="1">
    <w:name w:val="ListLabel 200"/>
    <w:qFormat/>
    <w:rPr>
      <w:rFonts w:cs="Times New Roman"/>
    </w:rPr>
  </w:style>
  <w:style w:type="character" w:styleId="ListLabel201" w:customStyle="1">
    <w:name w:val="ListLabel 201"/>
    <w:qFormat/>
    <w:rPr>
      <w:rFonts w:cs="Wingdings"/>
    </w:rPr>
  </w:style>
  <w:style w:type="character" w:styleId="ListLabel202" w:customStyle="1">
    <w:name w:val="ListLabel 202"/>
    <w:qFormat/>
    <w:rPr>
      <w:rFonts w:cs="Symbol"/>
    </w:rPr>
  </w:style>
  <w:style w:type="character" w:styleId="ListLabel203" w:customStyle="1">
    <w:name w:val="ListLabel 203"/>
    <w:qFormat/>
    <w:rPr>
      <w:rFonts w:cs="Courier New"/>
    </w:rPr>
  </w:style>
  <w:style w:type="character" w:styleId="ListLabel204" w:customStyle="1">
    <w:name w:val="ListLabel 204"/>
    <w:qFormat/>
    <w:rPr>
      <w:rFonts w:cs="Wingdings"/>
    </w:rPr>
  </w:style>
  <w:style w:type="character" w:styleId="ListLabel205" w:customStyle="1">
    <w:name w:val="ListLabel 205"/>
    <w:qFormat/>
    <w:rPr>
      <w:rFonts w:cs="Symbol"/>
    </w:rPr>
  </w:style>
  <w:style w:type="character" w:styleId="ListLabel206" w:customStyle="1">
    <w:name w:val="ListLabel 206"/>
    <w:qFormat/>
    <w:rPr>
      <w:rFonts w:cs="Courier New"/>
    </w:rPr>
  </w:style>
  <w:style w:type="character" w:styleId="ListLabel207" w:customStyle="1">
    <w:name w:val="ListLabel 207"/>
    <w:qFormat/>
    <w:rPr>
      <w:rFonts w:cs="Wingdings"/>
    </w:rPr>
  </w:style>
  <w:style w:type="character" w:styleId="ListLabel208" w:customStyle="1">
    <w:name w:val="ListLabel 208"/>
    <w:qFormat/>
    <w:rPr>
      <w:rFonts w:cs="Times New Roman"/>
    </w:rPr>
  </w:style>
  <w:style w:type="character" w:styleId="ListLabel209" w:customStyle="1">
    <w:name w:val="ListLabel 209"/>
    <w:qFormat/>
    <w:rPr>
      <w:rFonts w:cs="Times New Roman"/>
      <w:color w:val="000000"/>
    </w:rPr>
  </w:style>
  <w:style w:type="character" w:styleId="ListLabel210" w:customStyle="1">
    <w:name w:val="ListLabel 210"/>
    <w:qFormat/>
    <w:rPr>
      <w:rFonts w:cs="Times New Roman"/>
      <w:b w:val="false"/>
      <w:lang w:val="de-DE"/>
    </w:rPr>
  </w:style>
  <w:style w:type="character" w:styleId="ListLabel211" w:customStyle="1">
    <w:name w:val="ListLabel 211"/>
    <w:qFormat/>
    <w:rPr>
      <w:rFonts w:cs="Times New Roman"/>
    </w:rPr>
  </w:style>
  <w:style w:type="character" w:styleId="ListLabel212" w:customStyle="1">
    <w:name w:val="ListLabel 212"/>
    <w:qFormat/>
    <w:rPr>
      <w:rFonts w:cs="Courier New"/>
    </w:rPr>
  </w:style>
  <w:style w:type="character" w:styleId="ListLabel213" w:customStyle="1">
    <w:name w:val="ListLabel 213"/>
    <w:qFormat/>
    <w:rPr>
      <w:rFonts w:cs="Wingdings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Courier New"/>
    </w:rPr>
  </w:style>
  <w:style w:type="character" w:styleId="ListLabel216" w:customStyle="1">
    <w:name w:val="ListLabel 216"/>
    <w:qFormat/>
    <w:rPr>
      <w:rFonts w:cs="Wingdings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Courier New"/>
    </w:rPr>
  </w:style>
  <w:style w:type="character" w:styleId="ListLabel219" w:customStyle="1">
    <w:name w:val="ListLabel 219"/>
    <w:qFormat/>
    <w:rPr>
      <w:rFonts w:cs="Wingdings"/>
    </w:rPr>
  </w:style>
  <w:style w:type="character" w:styleId="ListLabel220" w:customStyle="1">
    <w:name w:val="ListLabel 220"/>
    <w:qFormat/>
    <w:rPr>
      <w:rFonts w:cs="Times New Roman"/>
    </w:rPr>
  </w:style>
  <w:style w:type="character" w:styleId="ListLabel221" w:customStyle="1">
    <w:name w:val="ListLabel 221"/>
    <w:qFormat/>
    <w:rPr>
      <w:rFonts w:cs="Times New Roman"/>
      <w:sz w:val="24"/>
      <w:szCs w:val="24"/>
    </w:rPr>
  </w:style>
  <w:style w:type="character" w:styleId="ListLabel222" w:customStyle="1">
    <w:name w:val="ListLabel 222"/>
    <w:qFormat/>
    <w:rPr>
      <w:rFonts w:cs="Times New Roman"/>
    </w:rPr>
  </w:style>
  <w:style w:type="character" w:styleId="ListLabel223" w:customStyle="1">
    <w:name w:val="ListLabel 223"/>
    <w:qFormat/>
    <w:rPr>
      <w:rFonts w:cs="Times New Roman"/>
    </w:rPr>
  </w:style>
  <w:style w:type="character" w:styleId="ListLabel224" w:customStyle="1">
    <w:name w:val="ListLabel 224"/>
    <w:qFormat/>
    <w:rPr>
      <w:rFonts w:cs="Times New Roman"/>
    </w:rPr>
  </w:style>
  <w:style w:type="character" w:styleId="ListLabel225" w:customStyle="1">
    <w:name w:val="ListLabel 225"/>
    <w:qFormat/>
    <w:rPr>
      <w:rFonts w:cs="Times New Roman"/>
    </w:rPr>
  </w:style>
  <w:style w:type="character" w:styleId="ListLabel226" w:customStyle="1">
    <w:name w:val="ListLabel 226"/>
    <w:qFormat/>
    <w:rPr>
      <w:rFonts w:cs="Times New Roman"/>
    </w:rPr>
  </w:style>
  <w:style w:type="character" w:styleId="ListLabel227" w:customStyle="1">
    <w:name w:val="ListLabel 227"/>
    <w:qFormat/>
    <w:rPr>
      <w:rFonts w:cs="Times New Roman"/>
    </w:rPr>
  </w:style>
  <w:style w:type="character" w:styleId="ListLabel228" w:customStyle="1">
    <w:name w:val="ListLabel 228"/>
    <w:qFormat/>
    <w:rPr>
      <w:rFonts w:cs="Times New Roman"/>
    </w:rPr>
  </w:style>
  <w:style w:type="character" w:styleId="ListLabel229" w:customStyle="1">
    <w:name w:val="ListLabel 229"/>
    <w:qFormat/>
    <w:rPr>
      <w:bCs/>
      <w:sz w:val="20"/>
    </w:rPr>
  </w:style>
  <w:style w:type="character" w:styleId="ListLabel230" w:customStyle="1">
    <w:name w:val="ListLabel 230"/>
    <w:qFormat/>
    <w:rPr>
      <w:rFonts w:cs="Times New Roman"/>
      <w:sz w:val="24"/>
    </w:rPr>
  </w:style>
  <w:style w:type="character" w:styleId="ListLabel231" w:customStyle="1">
    <w:name w:val="ListLabel 231"/>
    <w:qFormat/>
    <w:rPr>
      <w:rFonts w:cs="Times New Roman"/>
      <w:sz w:val="24"/>
      <w:szCs w:val="24"/>
    </w:rPr>
  </w:style>
  <w:style w:type="character" w:styleId="ListLabel232" w:customStyle="1">
    <w:name w:val="ListLabel 232"/>
    <w:qFormat/>
    <w:rPr>
      <w:rFonts w:cs="Times New Roman"/>
    </w:rPr>
  </w:style>
  <w:style w:type="character" w:styleId="ListLabel233" w:customStyle="1">
    <w:name w:val="ListLabel 233"/>
    <w:qFormat/>
    <w:rPr>
      <w:rFonts w:cs="Times New Roman"/>
    </w:rPr>
  </w:style>
  <w:style w:type="character" w:styleId="ListLabel234" w:customStyle="1">
    <w:name w:val="ListLabel 234"/>
    <w:qFormat/>
    <w:rPr>
      <w:rFonts w:cs="Times New Roman"/>
    </w:rPr>
  </w:style>
  <w:style w:type="character" w:styleId="ListLabel235" w:customStyle="1">
    <w:name w:val="ListLabel 235"/>
    <w:qFormat/>
    <w:rPr>
      <w:rFonts w:cs="Times New Roman"/>
    </w:rPr>
  </w:style>
  <w:style w:type="character" w:styleId="ListLabel236" w:customStyle="1">
    <w:name w:val="ListLabel 236"/>
    <w:qFormat/>
    <w:rPr>
      <w:rFonts w:cs="Times New Roman"/>
    </w:rPr>
  </w:style>
  <w:style w:type="character" w:styleId="ListLabel237" w:customStyle="1">
    <w:name w:val="ListLabel 237"/>
    <w:qFormat/>
    <w:rPr>
      <w:rFonts w:cs="Times New Roman"/>
    </w:rPr>
  </w:style>
  <w:style w:type="character" w:styleId="ListLabel238" w:customStyle="1">
    <w:name w:val="ListLabel 238"/>
    <w:qFormat/>
    <w:rPr>
      <w:rFonts w:cs="Times New Roman"/>
    </w:rPr>
  </w:style>
  <w:style w:type="character" w:styleId="ListLabel239" w:customStyle="1">
    <w:name w:val="ListLabel 239"/>
    <w:qFormat/>
    <w:rPr>
      <w:rFonts w:cs="Times New Roman"/>
    </w:rPr>
  </w:style>
  <w:style w:type="character" w:styleId="ListLabel240" w:customStyle="1">
    <w:name w:val="ListLabel 240"/>
    <w:qFormat/>
    <w:rPr>
      <w:rFonts w:cs="Times New Roman"/>
      <w:sz w:val="24"/>
    </w:rPr>
  </w:style>
  <w:style w:type="character" w:styleId="ListLabel241" w:customStyle="1">
    <w:name w:val="ListLabel 241"/>
    <w:qFormat/>
    <w:rPr>
      <w:rFonts w:cs="Times New Roman"/>
      <w:sz w:val="24"/>
      <w:szCs w:val="24"/>
    </w:rPr>
  </w:style>
  <w:style w:type="character" w:styleId="ListLabel242" w:customStyle="1">
    <w:name w:val="ListLabel 242"/>
    <w:qFormat/>
    <w:rPr>
      <w:rFonts w:cs="Times New Roman"/>
    </w:rPr>
  </w:style>
  <w:style w:type="character" w:styleId="ListLabel243" w:customStyle="1">
    <w:name w:val="ListLabel 243"/>
    <w:qFormat/>
    <w:rPr>
      <w:rFonts w:cs="Times New Roman"/>
    </w:rPr>
  </w:style>
  <w:style w:type="character" w:styleId="ListLabel244" w:customStyle="1">
    <w:name w:val="ListLabel 244"/>
    <w:qFormat/>
    <w:rPr>
      <w:rFonts w:cs="Times New Roman"/>
    </w:rPr>
  </w:style>
  <w:style w:type="character" w:styleId="ListLabel245" w:customStyle="1">
    <w:name w:val="ListLabel 245"/>
    <w:qFormat/>
    <w:rPr>
      <w:rFonts w:cs="Times New Roman"/>
    </w:rPr>
  </w:style>
  <w:style w:type="character" w:styleId="ListLabel246" w:customStyle="1">
    <w:name w:val="ListLabel 246"/>
    <w:qFormat/>
    <w:rPr>
      <w:rFonts w:cs="Times New Roman"/>
    </w:rPr>
  </w:style>
  <w:style w:type="character" w:styleId="ListLabel247" w:customStyle="1">
    <w:name w:val="ListLabel 247"/>
    <w:qFormat/>
    <w:rPr>
      <w:rFonts w:cs="Times New Roman"/>
    </w:rPr>
  </w:style>
  <w:style w:type="character" w:styleId="ListLabel248" w:customStyle="1">
    <w:name w:val="ListLabel 248"/>
    <w:qFormat/>
    <w:rPr>
      <w:rFonts w:cs="Times New Roman"/>
    </w:rPr>
  </w:style>
  <w:style w:type="character" w:styleId="ListLabel249" w:customStyle="1">
    <w:name w:val="ListLabel 249"/>
    <w:qFormat/>
    <w:rPr>
      <w:rFonts w:cs="Times New Roman"/>
    </w:rPr>
  </w:style>
  <w:style w:type="character" w:styleId="ListLabel250" w:customStyle="1">
    <w:name w:val="ListLabel 250"/>
    <w:qFormat/>
    <w:rPr>
      <w:rFonts w:cs="Times New Roman"/>
    </w:rPr>
  </w:style>
  <w:style w:type="character" w:styleId="ListLabel251" w:customStyle="1">
    <w:name w:val="ListLabel 251"/>
    <w:qFormat/>
    <w:rPr>
      <w:rFonts w:cs="Times New Roman"/>
      <w:sz w:val="24"/>
      <w:szCs w:val="24"/>
    </w:rPr>
  </w:style>
  <w:style w:type="character" w:styleId="ListLabel252" w:customStyle="1">
    <w:name w:val="ListLabel 252"/>
    <w:qFormat/>
    <w:rPr>
      <w:rFonts w:cs="Times New Roman"/>
    </w:rPr>
  </w:style>
  <w:style w:type="character" w:styleId="ListLabel253" w:customStyle="1">
    <w:name w:val="ListLabel 253"/>
    <w:qFormat/>
    <w:rPr>
      <w:rFonts w:cs="Times New Roman"/>
    </w:rPr>
  </w:style>
  <w:style w:type="character" w:styleId="ListLabel254" w:customStyle="1">
    <w:name w:val="ListLabel 254"/>
    <w:qFormat/>
    <w:rPr>
      <w:rFonts w:cs="Times New Roman"/>
    </w:rPr>
  </w:style>
  <w:style w:type="character" w:styleId="ListLabel255" w:customStyle="1">
    <w:name w:val="ListLabel 255"/>
    <w:qFormat/>
    <w:rPr>
      <w:rFonts w:cs="Times New Roman"/>
    </w:rPr>
  </w:style>
  <w:style w:type="character" w:styleId="ListLabel256" w:customStyle="1">
    <w:name w:val="ListLabel 256"/>
    <w:qFormat/>
    <w:rPr>
      <w:rFonts w:cs="Times New Roman"/>
    </w:rPr>
  </w:style>
  <w:style w:type="character" w:styleId="ListLabel257" w:customStyle="1">
    <w:name w:val="ListLabel 257"/>
    <w:qFormat/>
    <w:rPr>
      <w:rFonts w:cs="Times New Roman"/>
    </w:rPr>
  </w:style>
  <w:style w:type="character" w:styleId="ListLabel258" w:customStyle="1">
    <w:name w:val="ListLabel 258"/>
    <w:qFormat/>
    <w:rPr>
      <w:rFonts w:cs="Times New Roman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Times New Roman"/>
    </w:rPr>
  </w:style>
  <w:style w:type="character" w:styleId="ListLabel261" w:customStyle="1">
    <w:name w:val="ListLabel 261"/>
    <w:qFormat/>
    <w:rPr>
      <w:rFonts w:cs="Wingdings"/>
    </w:rPr>
  </w:style>
  <w:style w:type="character" w:styleId="ListLabel262" w:customStyle="1">
    <w:name w:val="ListLabel 262"/>
    <w:qFormat/>
    <w:rPr>
      <w:rFonts w:cs="Symbol"/>
    </w:rPr>
  </w:style>
  <w:style w:type="character" w:styleId="ListLabel263" w:customStyle="1">
    <w:name w:val="ListLabel 263"/>
    <w:qFormat/>
    <w:rPr>
      <w:rFonts w:cs="Courier New"/>
    </w:rPr>
  </w:style>
  <w:style w:type="character" w:styleId="ListLabel264" w:customStyle="1">
    <w:name w:val="ListLabel 264"/>
    <w:qFormat/>
    <w:rPr>
      <w:rFonts w:cs="Wingdings"/>
    </w:rPr>
  </w:style>
  <w:style w:type="character" w:styleId="ListLabel265" w:customStyle="1">
    <w:name w:val="ListLabel 265"/>
    <w:qFormat/>
    <w:rPr>
      <w:rFonts w:cs="Symbol"/>
    </w:rPr>
  </w:style>
  <w:style w:type="character" w:styleId="ListLabel266" w:customStyle="1">
    <w:name w:val="ListLabel 266"/>
    <w:qFormat/>
    <w:rPr>
      <w:rFonts w:cs="Courier New"/>
    </w:rPr>
  </w:style>
  <w:style w:type="character" w:styleId="ListLabel267" w:customStyle="1">
    <w:name w:val="ListLabel 267"/>
    <w:qFormat/>
    <w:rPr>
      <w:rFonts w:cs="Wingdings"/>
    </w:rPr>
  </w:style>
  <w:style w:type="character" w:styleId="ListLabel268" w:customStyle="1">
    <w:name w:val="ListLabel 268"/>
    <w:qFormat/>
    <w:rPr>
      <w:rFonts w:cs="Times New Roman"/>
    </w:rPr>
  </w:style>
  <w:style w:type="character" w:styleId="ListLabel269" w:customStyle="1">
    <w:name w:val="ListLabel 269"/>
    <w:qFormat/>
    <w:rPr>
      <w:rFonts w:cs="Times New Roman"/>
    </w:rPr>
  </w:style>
  <w:style w:type="character" w:styleId="ListLabel270" w:customStyle="1">
    <w:name w:val="ListLabel 270"/>
    <w:qFormat/>
    <w:rPr>
      <w:rFonts w:cs="Wingdings"/>
    </w:rPr>
  </w:style>
  <w:style w:type="character" w:styleId="ListLabel271" w:customStyle="1">
    <w:name w:val="ListLabel 271"/>
    <w:qFormat/>
    <w:rPr>
      <w:rFonts w:cs="Symbol"/>
    </w:rPr>
  </w:style>
  <w:style w:type="character" w:styleId="ListLabel272" w:customStyle="1">
    <w:name w:val="ListLabel 272"/>
    <w:qFormat/>
    <w:rPr>
      <w:rFonts w:cs="Courier New"/>
    </w:rPr>
  </w:style>
  <w:style w:type="character" w:styleId="ListLabel273" w:customStyle="1">
    <w:name w:val="ListLabel 273"/>
    <w:qFormat/>
    <w:rPr>
      <w:rFonts w:cs="Wingdings"/>
    </w:rPr>
  </w:style>
  <w:style w:type="character" w:styleId="ListLabel274" w:customStyle="1">
    <w:name w:val="ListLabel 274"/>
    <w:qFormat/>
    <w:rPr>
      <w:rFonts w:cs="Symbol"/>
    </w:rPr>
  </w:style>
  <w:style w:type="character" w:styleId="ListLabel275" w:customStyle="1">
    <w:name w:val="ListLabel 275"/>
    <w:qFormat/>
    <w:rPr>
      <w:rFonts w:cs="Courier New"/>
    </w:rPr>
  </w:style>
  <w:style w:type="character" w:styleId="ListLabel276" w:customStyle="1">
    <w:name w:val="ListLabel 276"/>
    <w:qFormat/>
    <w:rPr>
      <w:rFonts w:cs="Wingdings"/>
    </w:rPr>
  </w:style>
  <w:style w:type="character" w:styleId="ListLabel277" w:customStyle="1">
    <w:name w:val="ListLabel 277"/>
    <w:qFormat/>
    <w:rPr>
      <w:rFonts w:cs="Times New Roman"/>
    </w:rPr>
  </w:style>
  <w:style w:type="character" w:styleId="ListLabel278" w:customStyle="1">
    <w:name w:val="ListLabel 278"/>
    <w:qFormat/>
    <w:rPr>
      <w:rFonts w:cs="Times New Roman"/>
      <w:color w:val="000000"/>
    </w:rPr>
  </w:style>
  <w:style w:type="character" w:styleId="ListLabel279" w:customStyle="1">
    <w:name w:val="ListLabel 279"/>
    <w:qFormat/>
    <w:rPr>
      <w:rFonts w:cs="Times New Roman"/>
      <w:b w:val="false"/>
      <w:lang w:val="de-DE"/>
    </w:rPr>
  </w:style>
  <w:style w:type="character" w:styleId="ListLabel280" w:customStyle="1">
    <w:name w:val="ListLabel 280"/>
    <w:qFormat/>
    <w:rPr>
      <w:rFonts w:cs="Times New Roman"/>
    </w:rPr>
  </w:style>
  <w:style w:type="character" w:styleId="ListLabel281" w:customStyle="1">
    <w:name w:val="ListLabel 281"/>
    <w:qFormat/>
    <w:rPr>
      <w:rFonts w:cs="Courier New"/>
    </w:rPr>
  </w:style>
  <w:style w:type="character" w:styleId="ListLabel282" w:customStyle="1">
    <w:name w:val="ListLabel 282"/>
    <w:qFormat/>
    <w:rPr>
      <w:rFonts w:cs="Wingdings"/>
    </w:rPr>
  </w:style>
  <w:style w:type="character" w:styleId="ListLabel283" w:customStyle="1">
    <w:name w:val="ListLabel 283"/>
    <w:qFormat/>
    <w:rPr>
      <w:rFonts w:cs="Symbol"/>
    </w:rPr>
  </w:style>
  <w:style w:type="character" w:styleId="ListLabel284" w:customStyle="1">
    <w:name w:val="ListLabel 284"/>
    <w:qFormat/>
    <w:rPr>
      <w:rFonts w:cs="Courier New"/>
    </w:rPr>
  </w:style>
  <w:style w:type="character" w:styleId="ListLabel285" w:customStyle="1">
    <w:name w:val="ListLabel 285"/>
    <w:qFormat/>
    <w:rPr>
      <w:rFonts w:cs="Wingdings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Courier New"/>
    </w:rPr>
  </w:style>
  <w:style w:type="character" w:styleId="ListLabel288" w:customStyle="1">
    <w:name w:val="ListLabel 288"/>
    <w:qFormat/>
    <w:rPr>
      <w:rFonts w:cs="Wingdings"/>
    </w:rPr>
  </w:style>
  <w:style w:type="character" w:styleId="ListLabel289">
    <w:name w:val="ListLabel 289"/>
    <w:qFormat/>
    <w:rPr>
      <w:rFonts w:cs="Times New Roman"/>
    </w:rPr>
  </w:style>
  <w:style w:type="character" w:styleId="ListLabel290">
    <w:name w:val="ListLabel 290"/>
    <w:qFormat/>
    <w:rPr>
      <w:rFonts w:cs="Times New Roman"/>
      <w:sz w:val="24"/>
      <w:szCs w:val="24"/>
    </w:rPr>
  </w:style>
  <w:style w:type="character" w:styleId="ListLabel291">
    <w:name w:val="ListLabel 291"/>
    <w:qFormat/>
    <w:rPr>
      <w:rFonts w:cs="Times New Roman"/>
    </w:rPr>
  </w:style>
  <w:style w:type="character" w:styleId="ListLabel292">
    <w:name w:val="ListLabel 292"/>
    <w:qFormat/>
    <w:rPr>
      <w:rFonts w:cs="Times New Roman"/>
    </w:rPr>
  </w:style>
  <w:style w:type="character" w:styleId="ListLabel293">
    <w:name w:val="ListLabel 293"/>
    <w:qFormat/>
    <w:rPr>
      <w:rFonts w:cs="Times New Roman"/>
    </w:rPr>
  </w:style>
  <w:style w:type="character" w:styleId="ListLabel294">
    <w:name w:val="ListLabel 294"/>
    <w:qFormat/>
    <w:rPr>
      <w:rFonts w:cs="Times New Roman"/>
    </w:rPr>
  </w:style>
  <w:style w:type="character" w:styleId="ListLabel295">
    <w:name w:val="ListLabel 295"/>
    <w:qFormat/>
    <w:rPr>
      <w:rFonts w:cs="Times New Roman"/>
    </w:rPr>
  </w:style>
  <w:style w:type="character" w:styleId="ListLabel296">
    <w:name w:val="ListLabel 296"/>
    <w:qFormat/>
    <w:rPr>
      <w:rFonts w:cs="Times New Roman"/>
    </w:rPr>
  </w:style>
  <w:style w:type="character" w:styleId="ListLabel297">
    <w:name w:val="ListLabel 297"/>
    <w:qFormat/>
    <w:rPr>
      <w:rFonts w:cs="Times New Roman"/>
    </w:rPr>
  </w:style>
  <w:style w:type="character" w:styleId="ListLabel298">
    <w:name w:val="ListLabel 298"/>
    <w:qFormat/>
    <w:rPr>
      <w:bCs/>
      <w:sz w:val="20"/>
    </w:rPr>
  </w:style>
  <w:style w:type="character" w:styleId="ListLabel299">
    <w:name w:val="ListLabel 299"/>
    <w:qFormat/>
    <w:rPr>
      <w:rFonts w:cs="Times New Roman"/>
      <w:sz w:val="24"/>
    </w:rPr>
  </w:style>
  <w:style w:type="character" w:styleId="ListLabel300">
    <w:name w:val="ListLabel 300"/>
    <w:qFormat/>
    <w:rPr>
      <w:rFonts w:cs="Times New Roman"/>
      <w:sz w:val="24"/>
      <w:szCs w:val="24"/>
    </w:rPr>
  </w:style>
  <w:style w:type="character" w:styleId="ListLabel301">
    <w:name w:val="ListLabel 301"/>
    <w:qFormat/>
    <w:rPr>
      <w:rFonts w:cs="Times New Roman"/>
    </w:rPr>
  </w:style>
  <w:style w:type="character" w:styleId="ListLabel302">
    <w:name w:val="ListLabel 302"/>
    <w:qFormat/>
    <w:rPr>
      <w:rFonts w:cs="Times New Roman"/>
    </w:rPr>
  </w:style>
  <w:style w:type="character" w:styleId="ListLabel303">
    <w:name w:val="ListLabel 303"/>
    <w:qFormat/>
    <w:rPr>
      <w:rFonts w:cs="Times New Roman"/>
    </w:rPr>
  </w:style>
  <w:style w:type="character" w:styleId="ListLabel304">
    <w:name w:val="ListLabel 304"/>
    <w:qFormat/>
    <w:rPr>
      <w:rFonts w:cs="Times New Roman"/>
    </w:rPr>
  </w:style>
  <w:style w:type="character" w:styleId="ListLabel305">
    <w:name w:val="ListLabel 305"/>
    <w:qFormat/>
    <w:rPr>
      <w:rFonts w:cs="Times New Roman"/>
    </w:rPr>
  </w:style>
  <w:style w:type="character" w:styleId="ListLabel306">
    <w:name w:val="ListLabel 306"/>
    <w:qFormat/>
    <w:rPr>
      <w:rFonts w:cs="Times New Roman"/>
    </w:rPr>
  </w:style>
  <w:style w:type="character" w:styleId="ListLabel307">
    <w:name w:val="ListLabel 307"/>
    <w:qFormat/>
    <w:rPr>
      <w:rFonts w:cs="Times New Roman"/>
    </w:rPr>
  </w:style>
  <w:style w:type="character" w:styleId="ListLabel308">
    <w:name w:val="ListLabel 308"/>
    <w:qFormat/>
    <w:rPr>
      <w:rFonts w:cs="Times New Roman"/>
    </w:rPr>
  </w:style>
  <w:style w:type="character" w:styleId="ListLabel309">
    <w:name w:val="ListLabel 309"/>
    <w:qFormat/>
    <w:rPr>
      <w:rFonts w:cs="Times New Roman"/>
      <w:sz w:val="24"/>
    </w:rPr>
  </w:style>
  <w:style w:type="character" w:styleId="ListLabel310">
    <w:name w:val="ListLabel 310"/>
    <w:qFormat/>
    <w:rPr>
      <w:rFonts w:cs="Times New Roman"/>
      <w:sz w:val="24"/>
      <w:szCs w:val="24"/>
    </w:rPr>
  </w:style>
  <w:style w:type="character" w:styleId="ListLabel311">
    <w:name w:val="ListLabel 311"/>
    <w:qFormat/>
    <w:rPr>
      <w:rFonts w:cs="Times New Roman"/>
    </w:rPr>
  </w:style>
  <w:style w:type="character" w:styleId="ListLabel312">
    <w:name w:val="ListLabel 312"/>
    <w:qFormat/>
    <w:rPr>
      <w:rFonts w:cs="Times New Roman"/>
    </w:rPr>
  </w:style>
  <w:style w:type="character" w:styleId="ListLabel313">
    <w:name w:val="ListLabel 313"/>
    <w:qFormat/>
    <w:rPr>
      <w:rFonts w:cs="Times New Roman"/>
    </w:rPr>
  </w:style>
  <w:style w:type="character" w:styleId="ListLabel314">
    <w:name w:val="ListLabel 314"/>
    <w:qFormat/>
    <w:rPr>
      <w:rFonts w:cs="Times New Roman"/>
    </w:rPr>
  </w:style>
  <w:style w:type="character" w:styleId="ListLabel315">
    <w:name w:val="ListLabel 315"/>
    <w:qFormat/>
    <w:rPr>
      <w:rFonts w:cs="Times New Roman"/>
    </w:rPr>
  </w:style>
  <w:style w:type="character" w:styleId="ListLabel316">
    <w:name w:val="ListLabel 316"/>
    <w:qFormat/>
    <w:rPr>
      <w:rFonts w:cs="Times New Roman"/>
    </w:rPr>
  </w:style>
  <w:style w:type="character" w:styleId="ListLabel317">
    <w:name w:val="ListLabel 317"/>
    <w:qFormat/>
    <w:rPr>
      <w:rFonts w:cs="Times New Roman"/>
    </w:rPr>
  </w:style>
  <w:style w:type="character" w:styleId="ListLabel318">
    <w:name w:val="ListLabel 318"/>
    <w:qFormat/>
    <w:rPr>
      <w:rFonts w:cs="Times New Roman"/>
    </w:rPr>
  </w:style>
  <w:style w:type="character" w:styleId="ListLabel319">
    <w:name w:val="ListLabel 319"/>
    <w:qFormat/>
    <w:rPr>
      <w:rFonts w:cs="Times New Roman"/>
    </w:rPr>
  </w:style>
  <w:style w:type="character" w:styleId="ListLabel320">
    <w:name w:val="ListLabel 320"/>
    <w:qFormat/>
    <w:rPr>
      <w:rFonts w:cs="Times New Roman"/>
      <w:sz w:val="24"/>
      <w:szCs w:val="24"/>
    </w:rPr>
  </w:style>
  <w:style w:type="character" w:styleId="ListLabel321">
    <w:name w:val="ListLabel 321"/>
    <w:qFormat/>
    <w:rPr>
      <w:rFonts w:cs="Times New Roman"/>
    </w:rPr>
  </w:style>
  <w:style w:type="character" w:styleId="ListLabel322">
    <w:name w:val="ListLabel 322"/>
    <w:qFormat/>
    <w:rPr>
      <w:rFonts w:cs="Times New Roman"/>
    </w:rPr>
  </w:style>
  <w:style w:type="character" w:styleId="ListLabel323">
    <w:name w:val="ListLabel 323"/>
    <w:qFormat/>
    <w:rPr>
      <w:rFonts w:cs="Times New Roman"/>
    </w:rPr>
  </w:style>
  <w:style w:type="character" w:styleId="ListLabel324">
    <w:name w:val="ListLabel 324"/>
    <w:qFormat/>
    <w:rPr>
      <w:rFonts w:cs="Times New Roman"/>
    </w:rPr>
  </w:style>
  <w:style w:type="character" w:styleId="ListLabel325">
    <w:name w:val="ListLabel 325"/>
    <w:qFormat/>
    <w:rPr>
      <w:rFonts w:cs="Times New Roman"/>
    </w:rPr>
  </w:style>
  <w:style w:type="character" w:styleId="ListLabel326">
    <w:name w:val="ListLabel 326"/>
    <w:qFormat/>
    <w:rPr>
      <w:rFonts w:cs="Times New Roman"/>
    </w:rPr>
  </w:style>
  <w:style w:type="character" w:styleId="ListLabel327">
    <w:name w:val="ListLabel 327"/>
    <w:qFormat/>
    <w:rPr>
      <w:rFonts w:cs="Times New Roman"/>
    </w:rPr>
  </w:style>
  <w:style w:type="character" w:styleId="ListLabel328">
    <w:name w:val="ListLabel 328"/>
    <w:qFormat/>
    <w:rPr>
      <w:rFonts w:cs="Symbol"/>
    </w:rPr>
  </w:style>
  <w:style w:type="character" w:styleId="ListLabel329">
    <w:name w:val="ListLabel 329"/>
    <w:qFormat/>
    <w:rPr>
      <w:rFonts w:cs="Times New Roman"/>
    </w:rPr>
  </w:style>
  <w:style w:type="character" w:styleId="ListLabel330">
    <w:name w:val="ListLabel 330"/>
    <w:qFormat/>
    <w:rPr>
      <w:rFonts w:cs="Wingdings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Courier New"/>
    </w:rPr>
  </w:style>
  <w:style w:type="character" w:styleId="ListLabel333">
    <w:name w:val="ListLabel 333"/>
    <w:qFormat/>
    <w:rPr>
      <w:rFonts w:cs="Wingdings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Courier New"/>
    </w:rPr>
  </w:style>
  <w:style w:type="character" w:styleId="ListLabel336">
    <w:name w:val="ListLabel 336"/>
    <w:qFormat/>
    <w:rPr>
      <w:rFonts w:cs="Wingdings"/>
    </w:rPr>
  </w:style>
  <w:style w:type="character" w:styleId="ListLabel337">
    <w:name w:val="ListLabel 337"/>
    <w:qFormat/>
    <w:rPr>
      <w:rFonts w:cs="Times New Roman"/>
    </w:rPr>
  </w:style>
  <w:style w:type="character" w:styleId="ListLabel338">
    <w:name w:val="ListLabel 338"/>
    <w:qFormat/>
    <w:rPr>
      <w:rFonts w:cs="Times New Roman"/>
    </w:rPr>
  </w:style>
  <w:style w:type="character" w:styleId="ListLabel339">
    <w:name w:val="ListLabel 339"/>
    <w:qFormat/>
    <w:rPr>
      <w:rFonts w:cs="Wingdings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Courier New"/>
    </w:rPr>
  </w:style>
  <w:style w:type="character" w:styleId="ListLabel342">
    <w:name w:val="ListLabel 342"/>
    <w:qFormat/>
    <w:rPr>
      <w:rFonts w:cs="Wingdings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Courier New"/>
    </w:rPr>
  </w:style>
  <w:style w:type="character" w:styleId="ListLabel345">
    <w:name w:val="ListLabel 345"/>
    <w:qFormat/>
    <w:rPr>
      <w:rFonts w:cs="Wingdings"/>
    </w:rPr>
  </w:style>
  <w:style w:type="character" w:styleId="ListLabel346">
    <w:name w:val="ListLabel 346"/>
    <w:qFormat/>
    <w:rPr>
      <w:rFonts w:cs="Times New Roman"/>
      <w:sz w:val="24"/>
    </w:rPr>
  </w:style>
  <w:style w:type="character" w:styleId="ListLabel347">
    <w:name w:val="ListLabel 347"/>
    <w:qFormat/>
    <w:rPr>
      <w:rFonts w:cs="Times New Roman"/>
      <w:color w:val="000000"/>
      <w:sz w:val="24"/>
    </w:rPr>
  </w:style>
  <w:style w:type="character" w:styleId="ListLabel348">
    <w:name w:val="ListLabel 348"/>
    <w:qFormat/>
    <w:rPr>
      <w:rFonts w:cs="Times New Roman"/>
      <w:b w:val="false"/>
      <w:lang w:val="de-DE"/>
    </w:rPr>
  </w:style>
  <w:style w:type="character" w:styleId="ListLabel349">
    <w:name w:val="ListLabel 349"/>
    <w:qFormat/>
    <w:rPr>
      <w:rFonts w:cs="Times New Roman"/>
    </w:rPr>
  </w:style>
  <w:style w:type="character" w:styleId="ListLabel350">
    <w:name w:val="ListLabel 350"/>
    <w:qFormat/>
    <w:rPr>
      <w:rFonts w:cs="Courier New"/>
    </w:rPr>
  </w:style>
  <w:style w:type="character" w:styleId="ListLabel351">
    <w:name w:val="ListLabel 351"/>
    <w:qFormat/>
    <w:rPr>
      <w:rFonts w:cs="Wingdings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Courier New"/>
    </w:rPr>
  </w:style>
  <w:style w:type="character" w:styleId="ListLabel354">
    <w:name w:val="ListLabel 354"/>
    <w:qFormat/>
    <w:rPr>
      <w:rFonts w:cs="Wingdings"/>
    </w:rPr>
  </w:style>
  <w:style w:type="character" w:styleId="ListLabel355">
    <w:name w:val="ListLabel 355"/>
    <w:qFormat/>
    <w:rPr>
      <w:rFonts w:cs="Symbol"/>
    </w:rPr>
  </w:style>
  <w:style w:type="character" w:styleId="ListLabel356">
    <w:name w:val="ListLabel 356"/>
    <w:qFormat/>
    <w:rPr>
      <w:rFonts w:cs="Courier New"/>
    </w:rPr>
  </w:style>
  <w:style w:type="character" w:styleId="ListLabel357">
    <w:name w:val="ListLabel 357"/>
    <w:qFormat/>
    <w:rPr>
      <w:rFonts w:cs="Wingdings"/>
    </w:rPr>
  </w:style>
  <w:style w:type="character" w:styleId="ListLabel358">
    <w:name w:val="ListLabel 358"/>
    <w:qFormat/>
    <w:rPr>
      <w:rFonts w:cs="Symbol"/>
      <w:sz w:val="24"/>
    </w:rPr>
  </w:style>
  <w:style w:type="character" w:styleId="ListLabel359">
    <w:name w:val="ListLabel 359"/>
    <w:qFormat/>
    <w:rPr>
      <w:rFonts w:cs="Courier New"/>
    </w:rPr>
  </w:style>
  <w:style w:type="character" w:styleId="ListLabel360">
    <w:name w:val="ListLabel 360"/>
    <w:qFormat/>
    <w:rPr>
      <w:rFonts w:cs="Wingdings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Courier New"/>
    </w:rPr>
  </w:style>
  <w:style w:type="character" w:styleId="ListLabel363">
    <w:name w:val="ListLabel 363"/>
    <w:qFormat/>
    <w:rPr>
      <w:rFonts w:cs="Wingdings"/>
    </w:rPr>
  </w:style>
  <w:style w:type="character" w:styleId="ListLabel364">
    <w:name w:val="ListLabel 364"/>
    <w:qFormat/>
    <w:rPr>
      <w:rFonts w:cs="Symbol"/>
    </w:rPr>
  </w:style>
  <w:style w:type="character" w:styleId="ListLabel365">
    <w:name w:val="ListLabel 365"/>
    <w:qFormat/>
    <w:rPr>
      <w:rFonts w:cs="Courier New"/>
    </w:rPr>
  </w:style>
  <w:style w:type="character" w:styleId="ListLabel366">
    <w:name w:val="ListLabel 366"/>
    <w:qFormat/>
    <w:rPr>
      <w:rFonts w:cs="Wingdings"/>
    </w:rPr>
  </w:style>
  <w:style w:type="character" w:styleId="ListLabel367">
    <w:name w:val="ListLabel 367"/>
    <w:qFormat/>
    <w:rPr>
      <w:rFonts w:cs="Times New Roman"/>
    </w:rPr>
  </w:style>
  <w:style w:type="character" w:styleId="ListLabel368">
    <w:name w:val="ListLabel 368"/>
    <w:qFormat/>
    <w:rPr>
      <w:rFonts w:cs="Times New Roman"/>
      <w:sz w:val="24"/>
      <w:szCs w:val="24"/>
    </w:rPr>
  </w:style>
  <w:style w:type="character" w:styleId="ListLabel369">
    <w:name w:val="ListLabel 369"/>
    <w:qFormat/>
    <w:rPr>
      <w:rFonts w:cs="Times New Roman"/>
    </w:rPr>
  </w:style>
  <w:style w:type="character" w:styleId="ListLabel370">
    <w:name w:val="ListLabel 370"/>
    <w:qFormat/>
    <w:rPr>
      <w:rFonts w:cs="Times New Roman"/>
    </w:rPr>
  </w:style>
  <w:style w:type="character" w:styleId="ListLabel371">
    <w:name w:val="ListLabel 371"/>
    <w:qFormat/>
    <w:rPr>
      <w:rFonts w:cs="Times New Roman"/>
    </w:rPr>
  </w:style>
  <w:style w:type="character" w:styleId="ListLabel372">
    <w:name w:val="ListLabel 372"/>
    <w:qFormat/>
    <w:rPr>
      <w:rFonts w:cs="Times New Roman"/>
    </w:rPr>
  </w:style>
  <w:style w:type="character" w:styleId="ListLabel373">
    <w:name w:val="ListLabel 373"/>
    <w:qFormat/>
    <w:rPr>
      <w:rFonts w:cs="Times New Roman"/>
    </w:rPr>
  </w:style>
  <w:style w:type="character" w:styleId="ListLabel374">
    <w:name w:val="ListLabel 374"/>
    <w:qFormat/>
    <w:rPr>
      <w:rFonts w:cs="Times New Roman"/>
    </w:rPr>
  </w:style>
  <w:style w:type="character" w:styleId="ListLabel375">
    <w:name w:val="ListLabel 375"/>
    <w:qFormat/>
    <w:rPr>
      <w:rFonts w:cs="Times New Roman"/>
    </w:rPr>
  </w:style>
  <w:style w:type="character" w:styleId="ListLabel376">
    <w:name w:val="ListLabel 376"/>
    <w:qFormat/>
    <w:rPr>
      <w:bCs/>
      <w:sz w:val="20"/>
    </w:rPr>
  </w:style>
  <w:style w:type="character" w:styleId="ListLabel377">
    <w:name w:val="ListLabel 377"/>
    <w:qFormat/>
    <w:rPr>
      <w:rFonts w:cs="Times New Roman"/>
      <w:sz w:val="24"/>
    </w:rPr>
  </w:style>
  <w:style w:type="character" w:styleId="ListLabel378">
    <w:name w:val="ListLabel 378"/>
    <w:qFormat/>
    <w:rPr>
      <w:rFonts w:cs="Times New Roman"/>
      <w:sz w:val="24"/>
      <w:szCs w:val="24"/>
    </w:rPr>
  </w:style>
  <w:style w:type="character" w:styleId="ListLabel379">
    <w:name w:val="ListLabel 379"/>
    <w:qFormat/>
    <w:rPr>
      <w:rFonts w:cs="Times New Roman"/>
    </w:rPr>
  </w:style>
  <w:style w:type="character" w:styleId="ListLabel380">
    <w:name w:val="ListLabel 380"/>
    <w:qFormat/>
    <w:rPr>
      <w:rFonts w:cs="Times New Roman"/>
    </w:rPr>
  </w:style>
  <w:style w:type="character" w:styleId="ListLabel381">
    <w:name w:val="ListLabel 381"/>
    <w:qFormat/>
    <w:rPr>
      <w:rFonts w:cs="Times New Roman"/>
    </w:rPr>
  </w:style>
  <w:style w:type="character" w:styleId="ListLabel382">
    <w:name w:val="ListLabel 382"/>
    <w:qFormat/>
    <w:rPr>
      <w:rFonts w:cs="Times New Roman"/>
    </w:rPr>
  </w:style>
  <w:style w:type="character" w:styleId="ListLabel383">
    <w:name w:val="ListLabel 383"/>
    <w:qFormat/>
    <w:rPr>
      <w:rFonts w:cs="Times New Roman"/>
    </w:rPr>
  </w:style>
  <w:style w:type="character" w:styleId="ListLabel384">
    <w:name w:val="ListLabel 384"/>
    <w:qFormat/>
    <w:rPr>
      <w:rFonts w:cs="Times New Roman"/>
    </w:rPr>
  </w:style>
  <w:style w:type="character" w:styleId="ListLabel385">
    <w:name w:val="ListLabel 385"/>
    <w:qFormat/>
    <w:rPr>
      <w:rFonts w:cs="Times New Roman"/>
    </w:rPr>
  </w:style>
  <w:style w:type="character" w:styleId="ListLabel386">
    <w:name w:val="ListLabel 386"/>
    <w:qFormat/>
    <w:rPr>
      <w:rFonts w:cs="Times New Roman"/>
    </w:rPr>
  </w:style>
  <w:style w:type="character" w:styleId="ListLabel387">
    <w:name w:val="ListLabel 387"/>
    <w:qFormat/>
    <w:rPr>
      <w:rFonts w:cs="Times New Roman"/>
      <w:sz w:val="24"/>
    </w:rPr>
  </w:style>
  <w:style w:type="character" w:styleId="ListLabel388">
    <w:name w:val="ListLabel 388"/>
    <w:qFormat/>
    <w:rPr>
      <w:rFonts w:cs="Times New Roman"/>
      <w:sz w:val="24"/>
      <w:szCs w:val="24"/>
    </w:rPr>
  </w:style>
  <w:style w:type="character" w:styleId="ListLabel389">
    <w:name w:val="ListLabel 389"/>
    <w:qFormat/>
    <w:rPr>
      <w:rFonts w:cs="Times New Roman"/>
    </w:rPr>
  </w:style>
  <w:style w:type="character" w:styleId="ListLabel390">
    <w:name w:val="ListLabel 390"/>
    <w:qFormat/>
    <w:rPr>
      <w:rFonts w:cs="Times New Roman"/>
    </w:rPr>
  </w:style>
  <w:style w:type="character" w:styleId="ListLabel391">
    <w:name w:val="ListLabel 391"/>
    <w:qFormat/>
    <w:rPr>
      <w:rFonts w:cs="Times New Roman"/>
    </w:rPr>
  </w:style>
  <w:style w:type="character" w:styleId="ListLabel392">
    <w:name w:val="ListLabel 392"/>
    <w:qFormat/>
    <w:rPr>
      <w:rFonts w:cs="Times New Roman"/>
    </w:rPr>
  </w:style>
  <w:style w:type="character" w:styleId="ListLabel393">
    <w:name w:val="ListLabel 393"/>
    <w:qFormat/>
    <w:rPr>
      <w:rFonts w:cs="Times New Roman"/>
    </w:rPr>
  </w:style>
  <w:style w:type="character" w:styleId="ListLabel394">
    <w:name w:val="ListLabel 394"/>
    <w:qFormat/>
    <w:rPr>
      <w:rFonts w:cs="Times New Roman"/>
    </w:rPr>
  </w:style>
  <w:style w:type="character" w:styleId="ListLabel395">
    <w:name w:val="ListLabel 395"/>
    <w:qFormat/>
    <w:rPr>
      <w:rFonts w:cs="Times New Roman"/>
    </w:rPr>
  </w:style>
  <w:style w:type="character" w:styleId="ListLabel396">
    <w:name w:val="ListLabel 396"/>
    <w:qFormat/>
    <w:rPr>
      <w:rFonts w:cs="Times New Roman"/>
    </w:rPr>
  </w:style>
  <w:style w:type="character" w:styleId="ListLabel397">
    <w:name w:val="ListLabel 397"/>
    <w:qFormat/>
    <w:rPr>
      <w:rFonts w:cs="Times New Roman"/>
    </w:rPr>
  </w:style>
  <w:style w:type="character" w:styleId="ListLabel398">
    <w:name w:val="ListLabel 398"/>
    <w:qFormat/>
    <w:rPr>
      <w:rFonts w:cs="Times New Roman"/>
      <w:sz w:val="24"/>
      <w:szCs w:val="24"/>
    </w:rPr>
  </w:style>
  <w:style w:type="character" w:styleId="ListLabel399">
    <w:name w:val="ListLabel 399"/>
    <w:qFormat/>
    <w:rPr>
      <w:rFonts w:cs="Times New Roman"/>
    </w:rPr>
  </w:style>
  <w:style w:type="character" w:styleId="ListLabel400">
    <w:name w:val="ListLabel 400"/>
    <w:qFormat/>
    <w:rPr>
      <w:rFonts w:cs="Times New Roman"/>
    </w:rPr>
  </w:style>
  <w:style w:type="character" w:styleId="ListLabel401">
    <w:name w:val="ListLabel 401"/>
    <w:qFormat/>
    <w:rPr>
      <w:rFonts w:cs="Times New Roman"/>
    </w:rPr>
  </w:style>
  <w:style w:type="character" w:styleId="ListLabel402">
    <w:name w:val="ListLabel 402"/>
    <w:qFormat/>
    <w:rPr>
      <w:rFonts w:cs="Times New Roman"/>
    </w:rPr>
  </w:style>
  <w:style w:type="character" w:styleId="ListLabel403">
    <w:name w:val="ListLabel 403"/>
    <w:qFormat/>
    <w:rPr>
      <w:rFonts w:cs="Times New Roman"/>
    </w:rPr>
  </w:style>
  <w:style w:type="character" w:styleId="ListLabel404">
    <w:name w:val="ListLabel 404"/>
    <w:qFormat/>
    <w:rPr>
      <w:rFonts w:cs="Times New Roman"/>
    </w:rPr>
  </w:style>
  <w:style w:type="character" w:styleId="ListLabel405">
    <w:name w:val="ListLabel 405"/>
    <w:qFormat/>
    <w:rPr>
      <w:rFonts w:cs="Times New Roman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Times New Roman"/>
    </w:rPr>
  </w:style>
  <w:style w:type="character" w:styleId="ListLabel408">
    <w:name w:val="ListLabel 408"/>
    <w:qFormat/>
    <w:rPr>
      <w:rFonts w:cs="Wingdings"/>
    </w:rPr>
  </w:style>
  <w:style w:type="character" w:styleId="ListLabel409">
    <w:name w:val="ListLabel 409"/>
    <w:qFormat/>
    <w:rPr>
      <w:rFonts w:cs="Symbol"/>
    </w:rPr>
  </w:style>
  <w:style w:type="character" w:styleId="ListLabel410">
    <w:name w:val="ListLabel 410"/>
    <w:qFormat/>
    <w:rPr>
      <w:rFonts w:cs="Courier New"/>
    </w:rPr>
  </w:style>
  <w:style w:type="character" w:styleId="ListLabel411">
    <w:name w:val="ListLabel 411"/>
    <w:qFormat/>
    <w:rPr>
      <w:rFonts w:cs="Wingdings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Courier New"/>
    </w:rPr>
  </w:style>
  <w:style w:type="character" w:styleId="ListLabel414">
    <w:name w:val="ListLabel 414"/>
    <w:qFormat/>
    <w:rPr>
      <w:rFonts w:cs="Wingdings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ListLabel417">
    <w:name w:val="ListLabel 417"/>
    <w:qFormat/>
    <w:rPr>
      <w:rFonts w:cs="Wingdings"/>
    </w:rPr>
  </w:style>
  <w:style w:type="character" w:styleId="ListLabel418">
    <w:name w:val="ListLabel 418"/>
    <w:qFormat/>
    <w:rPr>
      <w:rFonts w:cs="Symbol"/>
    </w:rPr>
  </w:style>
  <w:style w:type="character" w:styleId="ListLabel419">
    <w:name w:val="ListLabel 419"/>
    <w:qFormat/>
    <w:rPr>
      <w:rFonts w:cs="Courier New"/>
    </w:rPr>
  </w:style>
  <w:style w:type="character" w:styleId="ListLabel420">
    <w:name w:val="ListLabel 420"/>
    <w:qFormat/>
    <w:rPr>
      <w:rFonts w:cs="Wingdings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Courier New"/>
    </w:rPr>
  </w:style>
  <w:style w:type="character" w:styleId="ListLabel423">
    <w:name w:val="ListLabel 423"/>
    <w:qFormat/>
    <w:rPr>
      <w:rFonts w:cs="Wingdings"/>
    </w:rPr>
  </w:style>
  <w:style w:type="character" w:styleId="ListLabel424">
    <w:name w:val="ListLabel 424"/>
    <w:qFormat/>
    <w:rPr>
      <w:rFonts w:cs="Times New Roman"/>
      <w:sz w:val="24"/>
    </w:rPr>
  </w:style>
  <w:style w:type="character" w:styleId="ListLabel425">
    <w:name w:val="ListLabel 425"/>
    <w:qFormat/>
    <w:rPr>
      <w:rFonts w:cs="Times New Roman"/>
      <w:color w:val="000000"/>
      <w:sz w:val="24"/>
    </w:rPr>
  </w:style>
  <w:style w:type="character" w:styleId="ListLabel426">
    <w:name w:val="ListLabel 426"/>
    <w:qFormat/>
    <w:rPr>
      <w:rFonts w:cs="Times New Roman"/>
      <w:b w:val="false"/>
      <w:lang w:val="de-DE"/>
    </w:rPr>
  </w:style>
  <w:style w:type="character" w:styleId="ListLabel427">
    <w:name w:val="ListLabel 427"/>
    <w:qFormat/>
    <w:rPr>
      <w:rFonts w:cs="Times New Roman"/>
    </w:rPr>
  </w:style>
  <w:style w:type="character" w:styleId="ListLabel428">
    <w:name w:val="ListLabel 428"/>
    <w:qFormat/>
    <w:rPr>
      <w:rFonts w:cs="Courier New"/>
    </w:rPr>
  </w:style>
  <w:style w:type="character" w:styleId="ListLabel429">
    <w:name w:val="ListLabel 429"/>
    <w:qFormat/>
    <w:rPr>
      <w:rFonts w:cs="Wingdings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Courier New"/>
    </w:rPr>
  </w:style>
  <w:style w:type="character" w:styleId="ListLabel432">
    <w:name w:val="ListLabel 432"/>
    <w:qFormat/>
    <w:rPr>
      <w:rFonts w:cs="Wingdings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Courier New"/>
    </w:rPr>
  </w:style>
  <w:style w:type="character" w:styleId="ListLabel435">
    <w:name w:val="ListLabel 435"/>
    <w:qFormat/>
    <w:rPr>
      <w:rFonts w:cs="Wingdings"/>
    </w:rPr>
  </w:style>
  <w:style w:type="character" w:styleId="ListLabel436">
    <w:name w:val="ListLabel 436"/>
    <w:qFormat/>
    <w:rPr>
      <w:rFonts w:cs="Symbol"/>
      <w:sz w:val="24"/>
    </w:rPr>
  </w:style>
  <w:style w:type="character" w:styleId="ListLabel437">
    <w:name w:val="ListLabel 437"/>
    <w:qFormat/>
    <w:rPr>
      <w:rFonts w:cs="Courier New"/>
    </w:rPr>
  </w:style>
  <w:style w:type="character" w:styleId="ListLabel438">
    <w:name w:val="ListLabel 438"/>
    <w:qFormat/>
    <w:rPr>
      <w:rFonts w:cs="Wingdings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Courier New"/>
    </w:rPr>
  </w:style>
  <w:style w:type="character" w:styleId="ListLabel441">
    <w:name w:val="ListLabel 441"/>
    <w:qFormat/>
    <w:rPr>
      <w:rFonts w:cs="Wingdings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Courier New"/>
    </w:rPr>
  </w:style>
  <w:style w:type="character" w:styleId="ListLabel444">
    <w:name w:val="ListLabel 444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360" w:before="0" w:after="0"/>
    </w:pPr>
    <w:rPr>
      <w:rFonts w:eastAsia="Times New Roman"/>
      <w:b/>
      <w:sz w:val="24"/>
      <w:szCs w:val="20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next w:val="Tretekstu"/>
    <w:pPr>
      <w:spacing w:before="0" w:after="0"/>
    </w:pPr>
    <w:rPr>
      <w:rFonts w:eastAsia="Times New Roman"/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1" w:customStyle="1">
    <w:name w:val="Nagłówek1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ormalWeb">
    <w:name w:val="Normal (Web)"/>
    <w:basedOn w:val="Normal"/>
    <w:uiPriority w:val="99"/>
    <w:qFormat/>
    <w:pPr>
      <w:spacing w:before="280" w:after="280"/>
    </w:pPr>
    <w:rPr>
      <w:rFonts w:eastAsia="Times New Roman"/>
      <w:sz w:val="24"/>
      <w:szCs w:val="24"/>
    </w:rPr>
  </w:style>
  <w:style w:type="paragraph" w:styleId="Przypisdolny">
    <w:name w:val="Footnote Text"/>
    <w:basedOn w:val="Normal"/>
    <w:qFormat/>
    <w:pPr/>
    <w:rPr/>
  </w:style>
  <w:style w:type="paragraph" w:styleId="Mapadokumentu1" w:customStyle="1">
    <w:name w:val="Mapa dokumentu1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Tekstkomentarza1" w:customStyle="1">
    <w:name w:val="Tekst komentarza1"/>
    <w:basedOn w:val="Normal"/>
    <w:qFormat/>
    <w:pPr>
      <w:spacing w:before="0" w:after="0"/>
    </w:pPr>
    <w:rPr>
      <w:rFonts w:eastAsia="Times New Roman"/>
      <w:sz w:val="20"/>
      <w:szCs w:val="20"/>
    </w:rPr>
  </w:style>
  <w:style w:type="paragraph" w:styleId="Gwkaistopka" w:customStyle="1">
    <w:name w:val="Główka i stopka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opka">
    <w:name w:val="Footer"/>
    <w:basedOn w:val="Normal"/>
    <w:pPr>
      <w:spacing w:before="0" w:after="0"/>
    </w:pPr>
    <w:rPr>
      <w:rFonts w:eastAsia="Times New Roman"/>
      <w:sz w:val="20"/>
      <w:szCs w:val="20"/>
    </w:rPr>
  </w:style>
  <w:style w:type="paragraph" w:styleId="Wcicietrecitekstu">
    <w:name w:val="Body Text Indent"/>
    <w:basedOn w:val="Normal"/>
    <w:pPr>
      <w:spacing w:before="0" w:after="0"/>
      <w:ind w:left="426" w:hanging="426"/>
    </w:pPr>
    <w:rPr>
      <w:rFonts w:eastAsia="Times New Roman"/>
      <w:b/>
      <w:sz w:val="24"/>
      <w:szCs w:val="20"/>
    </w:rPr>
  </w:style>
  <w:style w:type="paragraph" w:styleId="Tekstpodstawowy21" w:customStyle="1">
    <w:name w:val="Tekst podstawowy 21"/>
    <w:basedOn w:val="Normal"/>
    <w:qFormat/>
    <w:pPr>
      <w:widowControl w:val="false"/>
      <w:spacing w:before="0" w:after="0"/>
      <w:ind w:left="284" w:hanging="284"/>
    </w:pPr>
    <w:rPr>
      <w:rFonts w:eastAsia="Times New Roman"/>
      <w:sz w:val="20"/>
      <w:szCs w:val="20"/>
    </w:rPr>
  </w:style>
  <w:style w:type="paragraph" w:styleId="Tekstpodstawowy22" w:customStyle="1">
    <w:name w:val="Tekst podstawowy 22"/>
    <w:basedOn w:val="Normal"/>
    <w:qFormat/>
    <w:pPr>
      <w:spacing w:before="0" w:after="0"/>
    </w:pPr>
    <w:rPr>
      <w:rFonts w:ascii="Arial" w:hAnsi="Arial" w:eastAsia="Times New Roman" w:cs="Arial"/>
      <w:sz w:val="24"/>
      <w:szCs w:val="20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Tekstpodstawowy31" w:customStyle="1">
    <w:name w:val="Tekst podstawowy 31"/>
    <w:basedOn w:val="Normal"/>
    <w:qFormat/>
    <w:pPr>
      <w:shd w:val="clear" w:color="auto" w:fill="FFFFFF"/>
      <w:spacing w:before="0" w:after="0"/>
    </w:pPr>
    <w:rPr>
      <w:sz w:val="24"/>
      <w:szCs w:val="24"/>
    </w:rPr>
  </w:style>
  <w:style w:type="paragraph" w:styleId="BalloonText">
    <w:name w:val="Balloon Text"/>
    <w:basedOn w:val="Normal"/>
    <w:qFormat/>
    <w:pPr>
      <w:spacing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Tekstkomentarza1"/>
    <w:qFormat/>
    <w:pPr>
      <w:spacing w:lineRule="auto" w:line="276" w:before="0" w:after="200"/>
    </w:pPr>
    <w:rPr>
      <w:b/>
      <w:bCs/>
    </w:rPr>
  </w:style>
  <w:style w:type="paragraph" w:styleId="Przypiskocowy">
    <w:name w:val="Endnote Text"/>
    <w:basedOn w:val="Normal"/>
    <w:qFormat/>
    <w:pPr/>
    <w:rPr>
      <w:sz w:val="20"/>
      <w:szCs w:val="20"/>
    </w:rPr>
  </w:style>
  <w:style w:type="paragraph" w:styleId="Style25" w:customStyle="1">
    <w:name w:val="Style 25"/>
    <w:basedOn w:val="Normal"/>
    <w:qFormat/>
    <w:pPr>
      <w:widowControl w:val="false"/>
      <w:shd w:val="clear" w:color="auto" w:fill="FFFFFF"/>
      <w:spacing w:lineRule="exact" w:line="322" w:before="0" w:after="360"/>
      <w:ind w:hanging="460"/>
    </w:pPr>
    <w:rPr>
      <w:rFonts w:eastAsia="Times New Roman"/>
      <w:sz w:val="26"/>
      <w:szCs w:val="26"/>
    </w:rPr>
  </w:style>
  <w:style w:type="paragraph" w:styleId="Default" w:customStyle="1">
    <w:name w:val="Default"/>
    <w:qFormat/>
    <w:pPr>
      <w:widowControl/>
      <w:suppressAutoHyphens w:val="true"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h-CN" w:bidi="ar-SA"/>
    </w:rPr>
  </w:style>
  <w:style w:type="paragraph" w:styleId="Sandomierztresc2" w:customStyle="1">
    <w:name w:val="Sandomierz_tresc2"/>
    <w:basedOn w:val="Normal"/>
    <w:qFormat/>
    <w:pPr>
      <w:spacing w:lineRule="auto" w:line="360" w:before="0" w:after="0"/>
      <w:ind w:firstLine="284"/>
    </w:pPr>
    <w:rPr>
      <w:rFonts w:eastAsia="Times New Roman"/>
      <w:color w:val="0000FF"/>
      <w:sz w:val="24"/>
      <w:lang w:val="x-none"/>
    </w:rPr>
  </w:style>
  <w:style w:type="paragraph" w:styleId="Tekstpodstawowywcity21" w:customStyle="1">
    <w:name w:val="Tekst podstawowy wcięty 21"/>
    <w:basedOn w:val="Normal"/>
    <w:qFormat/>
    <w:pPr>
      <w:ind w:left="432" w:hanging="0"/>
    </w:pPr>
    <w:rPr/>
  </w:style>
  <w:style w:type="paragraph" w:styleId="Style15" w:customStyle="1">
    <w:name w:val="Style 15"/>
    <w:basedOn w:val="Normal"/>
    <w:qFormat/>
    <w:pPr>
      <w:widowControl w:val="false"/>
      <w:shd w:val="clear" w:color="auto" w:fill="FFFFFF"/>
      <w:spacing w:lineRule="atLeast" w:line="240" w:before="0" w:after="0"/>
      <w:ind w:hanging="3100"/>
    </w:pPr>
    <w:rPr>
      <w:rFonts w:ascii="Arial" w:hAnsi="Arial" w:eastAsia="Times New Roman" w:cs="Arial"/>
      <w:sz w:val="21"/>
      <w:szCs w:val="21"/>
    </w:rPr>
  </w:style>
  <w:style w:type="paragraph" w:styleId="Style21" w:customStyle="1">
    <w:name w:val="Style 2"/>
    <w:basedOn w:val="Normal"/>
    <w:qFormat/>
    <w:pPr>
      <w:widowControl w:val="false"/>
      <w:spacing w:before="0" w:after="0"/>
      <w:ind w:left="504" w:hanging="504"/>
    </w:pPr>
    <w:rPr>
      <w:rFonts w:eastAsia="Times New Roman"/>
      <w:sz w:val="25"/>
      <w:szCs w:val="25"/>
    </w:rPr>
  </w:style>
  <w:style w:type="paragraph" w:styleId="Style11" w:customStyle="1">
    <w:name w:val="Style 1"/>
    <w:basedOn w:val="Normal"/>
    <w:qFormat/>
    <w:pPr>
      <w:widowControl w:val="false"/>
      <w:spacing w:before="0" w:after="0"/>
    </w:pPr>
    <w:rPr>
      <w:rFonts w:eastAsia="Times New Roman"/>
      <w:sz w:val="20"/>
      <w:szCs w:val="20"/>
    </w:rPr>
  </w:style>
  <w:style w:type="paragraph" w:styleId="Legenda1" w:customStyle="1">
    <w:name w:val="Legenda1"/>
    <w:basedOn w:val="Normal"/>
    <w:qFormat/>
    <w:pPr/>
    <w:rPr>
      <w:b/>
      <w:bCs/>
      <w:sz w:val="20"/>
      <w:szCs w:val="20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756AF-68FF-4920-890E-E2682BA0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Application>LibreOffice/6.1.0.3$Windows_x86 LibreOffice_project/efb621ed25068d70781dc026f7e9c5187a4decd1</Application>
  <Pages>19</Pages>
  <Words>3464</Words>
  <Characters>21437</Characters>
  <CharactersWithSpaces>24121</CharactersWithSpaces>
  <Paragraphs>757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2020-11-03T11:01:00Z</dcterms:created>
  <dc:creator>Joanna Antoniak</dc:creator>
  <dc:description/>
  <dc:language>pl-PL</dc:language>
  <cp:lastModifiedBy/>
  <cp:lastPrinted>1995-11-21T16:41:00Z</cp:lastPrinted>
  <dcterms:modified xsi:type="dcterms:W3CDTF">2020-12-16T13:16:14Z</dcterms:modified>
  <cp:revision>78</cp:revision>
  <dc:subject/>
  <dc:title>Propozycja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